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BA9B3" w14:textId="66C3919A" w:rsidR="002A0032" w:rsidRPr="002A0032" w:rsidRDefault="002A0032" w:rsidP="002A0032">
      <w:pPr>
        <w:widowControl/>
        <w:shd w:val="clear" w:color="auto" w:fill="FFFFFF"/>
        <w:jc w:val="center"/>
        <w:outlineLvl w:val="1"/>
        <w:rPr>
          <w:rFonts w:ascii="微软雅黑" w:eastAsia="微软雅黑" w:hAnsi="微软雅黑" w:cs="宋体"/>
          <w:b/>
          <w:bCs/>
          <w:color w:val="000000"/>
          <w:kern w:val="0"/>
          <w:sz w:val="30"/>
          <w:szCs w:val="30"/>
        </w:rPr>
      </w:pPr>
      <w:bookmarkStart w:id="0" w:name="_GoBack"/>
      <w:bookmarkEnd w:id="0"/>
      <w:r w:rsidRPr="002A0032">
        <w:rPr>
          <w:rFonts w:ascii="微软雅黑" w:eastAsia="微软雅黑" w:hAnsi="微软雅黑" w:cs="宋体" w:hint="eastAsia"/>
          <w:b/>
          <w:bCs/>
          <w:color w:val="000000"/>
          <w:kern w:val="0"/>
          <w:sz w:val="30"/>
          <w:szCs w:val="30"/>
        </w:rPr>
        <w:t>关于调整</w:t>
      </w:r>
      <w:r w:rsidR="00366D02">
        <w:rPr>
          <w:rFonts w:ascii="微软雅黑" w:eastAsia="微软雅黑" w:hAnsi="微软雅黑" w:cs="宋体" w:hint="eastAsia"/>
          <w:b/>
          <w:bCs/>
          <w:color w:val="000000"/>
          <w:kern w:val="0"/>
          <w:sz w:val="30"/>
          <w:szCs w:val="30"/>
        </w:rPr>
        <w:t>23</w:t>
      </w:r>
      <w:r w:rsidRPr="002A0032">
        <w:rPr>
          <w:rFonts w:ascii="微软雅黑" w:eastAsia="微软雅黑" w:hAnsi="微软雅黑" w:cs="宋体"/>
          <w:b/>
          <w:bCs/>
          <w:color w:val="000000"/>
          <w:kern w:val="0"/>
          <w:sz w:val="30"/>
          <w:szCs w:val="30"/>
        </w:rPr>
        <w:t>只理财产品</w:t>
      </w:r>
      <w:r w:rsidR="00C04F34" w:rsidRPr="00C04F34">
        <w:rPr>
          <w:rFonts w:ascii="微软雅黑" w:eastAsia="微软雅黑" w:hAnsi="微软雅黑" w:cs="宋体" w:hint="eastAsia"/>
          <w:b/>
          <w:bCs/>
          <w:color w:val="000000"/>
          <w:kern w:val="0"/>
          <w:sz w:val="30"/>
          <w:szCs w:val="30"/>
        </w:rPr>
        <w:t>份额</w:t>
      </w:r>
      <w:r w:rsidRPr="002A0032">
        <w:rPr>
          <w:rFonts w:ascii="微软雅黑" w:eastAsia="微软雅黑" w:hAnsi="微软雅黑" w:cs="宋体" w:hint="eastAsia"/>
          <w:b/>
          <w:bCs/>
          <w:color w:val="000000"/>
          <w:kern w:val="0"/>
          <w:sz w:val="30"/>
          <w:szCs w:val="30"/>
        </w:rPr>
        <w:t>业绩比较基准的公告(</w:t>
      </w:r>
      <w:r w:rsidR="008E573D" w:rsidRPr="008E573D">
        <w:rPr>
          <w:rFonts w:ascii="微软雅黑" w:eastAsia="微软雅黑" w:hAnsi="微软雅黑" w:cs="宋体"/>
          <w:b/>
          <w:bCs/>
          <w:color w:val="000000"/>
          <w:kern w:val="0"/>
          <w:sz w:val="30"/>
          <w:szCs w:val="30"/>
        </w:rPr>
        <w:t>2026年6月5日</w:t>
      </w:r>
      <w:r w:rsidRPr="002A0032">
        <w:rPr>
          <w:rFonts w:ascii="微软雅黑" w:eastAsia="微软雅黑" w:hAnsi="微软雅黑" w:cs="宋体" w:hint="eastAsia"/>
          <w:b/>
          <w:bCs/>
          <w:color w:val="000000"/>
          <w:kern w:val="0"/>
          <w:sz w:val="30"/>
          <w:szCs w:val="30"/>
        </w:rPr>
        <w:t>起)</w:t>
      </w:r>
    </w:p>
    <w:p w14:paraId="7A3A0A85" w14:textId="77777777"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t>尊敬的投资者：</w:t>
      </w:r>
    </w:p>
    <w:p w14:paraId="1FB28FFF" w14:textId="2DDD705E"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t>根据市场情况变化，我公司拟于</w:t>
      </w:r>
      <w:r w:rsidR="008E573D" w:rsidRPr="008E573D">
        <w:rPr>
          <w:rFonts w:ascii="Verdana" w:eastAsia="宋体" w:hAnsi="Verdana" w:cs="宋体"/>
          <w:color w:val="535353"/>
          <w:kern w:val="0"/>
          <w:szCs w:val="21"/>
        </w:rPr>
        <w:t>2026</w:t>
      </w:r>
      <w:r w:rsidR="008E573D" w:rsidRPr="008E573D">
        <w:rPr>
          <w:rFonts w:ascii="Verdana" w:eastAsia="宋体" w:hAnsi="Verdana" w:cs="宋体"/>
          <w:color w:val="535353"/>
          <w:kern w:val="0"/>
          <w:szCs w:val="21"/>
        </w:rPr>
        <w:t>年</w:t>
      </w:r>
      <w:r w:rsidR="008E573D" w:rsidRPr="008E573D">
        <w:rPr>
          <w:rFonts w:ascii="Verdana" w:eastAsia="宋体" w:hAnsi="Verdana" w:cs="宋体"/>
          <w:color w:val="535353"/>
          <w:kern w:val="0"/>
          <w:szCs w:val="21"/>
        </w:rPr>
        <w:t>6</w:t>
      </w:r>
      <w:r w:rsidR="008E573D" w:rsidRPr="008E573D">
        <w:rPr>
          <w:rFonts w:ascii="Verdana" w:eastAsia="宋体" w:hAnsi="Verdana" w:cs="宋体"/>
          <w:color w:val="535353"/>
          <w:kern w:val="0"/>
          <w:szCs w:val="21"/>
        </w:rPr>
        <w:t>月</w:t>
      </w:r>
      <w:r w:rsidR="008E573D" w:rsidRPr="008E573D">
        <w:rPr>
          <w:rFonts w:ascii="Verdana" w:eastAsia="宋体" w:hAnsi="Verdana" w:cs="宋体"/>
          <w:color w:val="535353"/>
          <w:kern w:val="0"/>
          <w:szCs w:val="21"/>
        </w:rPr>
        <w:t>5</w:t>
      </w:r>
      <w:r w:rsidR="008E573D" w:rsidRPr="008E573D">
        <w:rPr>
          <w:rFonts w:ascii="Verdana" w:eastAsia="宋体" w:hAnsi="Verdana" w:cs="宋体"/>
          <w:color w:val="535353"/>
          <w:kern w:val="0"/>
          <w:szCs w:val="21"/>
        </w:rPr>
        <w:t>日</w:t>
      </w:r>
      <w:r w:rsidRPr="002A0032">
        <w:rPr>
          <w:rFonts w:ascii="Verdana" w:eastAsia="宋体" w:hAnsi="Verdana" w:cs="宋体"/>
          <w:color w:val="535353"/>
          <w:kern w:val="0"/>
          <w:szCs w:val="21"/>
        </w:rPr>
        <w:t>起调整</w:t>
      </w:r>
      <w:r w:rsidR="00366D02">
        <w:rPr>
          <w:rFonts w:ascii="Verdana" w:eastAsia="宋体" w:hAnsi="Verdana" w:cs="宋体" w:hint="eastAsia"/>
          <w:color w:val="535353"/>
          <w:kern w:val="0"/>
          <w:szCs w:val="21"/>
        </w:rPr>
        <w:t>23</w:t>
      </w:r>
      <w:r>
        <w:rPr>
          <w:rFonts w:ascii="Verdana" w:eastAsia="宋体" w:hAnsi="Verdana" w:cs="宋体" w:hint="eastAsia"/>
          <w:color w:val="535353"/>
          <w:kern w:val="0"/>
          <w:szCs w:val="21"/>
        </w:rPr>
        <w:t>只理财产品</w:t>
      </w:r>
      <w:r w:rsidR="008B52E3" w:rsidRPr="008B52E3">
        <w:rPr>
          <w:rFonts w:ascii="Verdana" w:eastAsia="宋体" w:hAnsi="Verdana" w:cs="宋体" w:hint="eastAsia"/>
          <w:color w:val="535353"/>
          <w:kern w:val="0"/>
          <w:szCs w:val="21"/>
        </w:rPr>
        <w:t>份额</w:t>
      </w:r>
      <w:r w:rsidRPr="002A0032">
        <w:rPr>
          <w:rFonts w:ascii="Verdana" w:eastAsia="宋体" w:hAnsi="Verdana" w:cs="宋体"/>
          <w:color w:val="535353"/>
          <w:kern w:val="0"/>
          <w:szCs w:val="21"/>
        </w:rPr>
        <w:t>业绩比较基准，具体调整情况如下：</w:t>
      </w:r>
    </w:p>
    <w:tbl>
      <w:tblPr>
        <w:tblW w:w="8781"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30"/>
        <w:gridCol w:w="2550"/>
        <w:gridCol w:w="1650"/>
        <w:gridCol w:w="1650"/>
        <w:gridCol w:w="1205"/>
        <w:gridCol w:w="1159"/>
      </w:tblGrid>
      <w:tr w:rsidR="002A0032" w:rsidRPr="002A0032" w14:paraId="138DA90F"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04AF0E5"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理财产品</w:t>
            </w:r>
            <w:r w:rsidRPr="002A0032">
              <w:rPr>
                <w:rFonts w:ascii="宋体" w:eastAsia="宋体" w:hAnsi="宋体" w:cs="宋体"/>
                <w:b/>
                <w:bCs/>
                <w:kern w:val="0"/>
                <w:sz w:val="18"/>
                <w:szCs w:val="18"/>
              </w:rPr>
              <w:br/>
              <w:t>份额代码</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6085110"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理财产品名称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81AC4C7"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业绩比较基准</w:t>
            </w:r>
            <w:r w:rsidRPr="002A0032">
              <w:rPr>
                <w:rFonts w:ascii="宋体" w:eastAsia="宋体" w:hAnsi="宋体" w:cs="宋体"/>
                <w:b/>
                <w:bCs/>
                <w:kern w:val="0"/>
                <w:sz w:val="18"/>
                <w:szCs w:val="18"/>
              </w:rPr>
              <w:br/>
              <w:t>调整前</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FBEAC5"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业绩比较基准</w:t>
            </w:r>
            <w:r w:rsidRPr="002A0032">
              <w:rPr>
                <w:rFonts w:ascii="宋体" w:eastAsia="宋体" w:hAnsi="宋体" w:cs="宋体"/>
                <w:b/>
                <w:bCs/>
                <w:kern w:val="0"/>
                <w:sz w:val="18"/>
                <w:szCs w:val="18"/>
              </w:rPr>
              <w:br/>
              <w:t>调整后</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C6A77A8"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业绩比较基准</w:t>
            </w:r>
            <w:r w:rsidRPr="002A0032">
              <w:rPr>
                <w:rFonts w:ascii="宋体" w:eastAsia="宋体" w:hAnsi="宋体" w:cs="宋体"/>
                <w:b/>
                <w:bCs/>
                <w:kern w:val="0"/>
                <w:sz w:val="18"/>
                <w:szCs w:val="18"/>
              </w:rPr>
              <w:br/>
              <w:t>测算依据</w:t>
            </w:r>
          </w:p>
        </w:tc>
        <w:tc>
          <w:tcPr>
            <w:tcW w:w="1129" w:type="dxa"/>
            <w:tcBorders>
              <w:top w:val="outset" w:sz="6" w:space="0" w:color="auto"/>
              <w:left w:val="outset" w:sz="6" w:space="0" w:color="auto"/>
              <w:bottom w:val="outset" w:sz="6" w:space="0" w:color="auto"/>
              <w:right w:val="outset" w:sz="6" w:space="0" w:color="auto"/>
            </w:tcBorders>
            <w:noWrap/>
            <w:vAlign w:val="center"/>
            <w:hideMark/>
          </w:tcPr>
          <w:p w14:paraId="7B7D5E0A" w14:textId="77777777" w:rsidR="002A0032" w:rsidRPr="002A0032" w:rsidRDefault="002A0032" w:rsidP="002A0032">
            <w:pPr>
              <w:widowControl/>
              <w:spacing w:line="300" w:lineRule="atLeast"/>
              <w:jc w:val="center"/>
              <w:rPr>
                <w:rFonts w:ascii="宋体" w:eastAsia="宋体" w:hAnsi="宋体" w:cs="宋体"/>
                <w:b/>
                <w:bCs/>
                <w:kern w:val="0"/>
                <w:sz w:val="18"/>
                <w:szCs w:val="18"/>
              </w:rPr>
            </w:pPr>
            <w:r w:rsidRPr="002A0032">
              <w:rPr>
                <w:rFonts w:ascii="宋体" w:eastAsia="宋体" w:hAnsi="宋体" w:cs="宋体"/>
                <w:b/>
                <w:bCs/>
                <w:kern w:val="0"/>
                <w:sz w:val="18"/>
                <w:szCs w:val="18"/>
              </w:rPr>
              <w:t>生效日</w:t>
            </w:r>
          </w:p>
        </w:tc>
      </w:tr>
      <w:tr w:rsidR="00366D02" w:rsidRPr="00366D02" w14:paraId="560E4705"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E27EFD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YXTTZY01A</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D283BF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B91ED3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846397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1.23%-2.23%(年化)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9164B1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w:t>
            </w:r>
            <w:r w:rsidRPr="00366D02">
              <w:rPr>
                <w:rFonts w:ascii="宋体" w:eastAsia="宋体" w:hAnsi="宋体" w:cs="宋体" w:hint="eastAsia"/>
                <w:kern w:val="0"/>
                <w:sz w:val="18"/>
                <w:szCs w:val="18"/>
              </w:rPr>
              <w:lastRenderedPageBreak/>
              <w:t xml:space="preserve">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4B7D2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4F267A0B"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CC7679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YXTTZY01B</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8DD6DA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1C4BE9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3D08AA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1.23%-2.23%(年化)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644D2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w:t>
            </w:r>
            <w:r w:rsidRPr="00366D02">
              <w:rPr>
                <w:rFonts w:ascii="宋体" w:eastAsia="宋体" w:hAnsi="宋体" w:cs="宋体" w:hint="eastAsia"/>
                <w:kern w:val="0"/>
                <w:sz w:val="18"/>
                <w:szCs w:val="18"/>
              </w:rPr>
              <w:lastRenderedPageBreak/>
              <w:t xml:space="preserve">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F0061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37C307D1"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224E22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YXTTZY01C</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C05743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848780F"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F32D0F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1.13%-2.13%(年化)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881ED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w:t>
            </w:r>
            <w:r w:rsidRPr="00366D02">
              <w:rPr>
                <w:rFonts w:ascii="宋体" w:eastAsia="宋体" w:hAnsi="宋体" w:cs="宋体" w:hint="eastAsia"/>
                <w:kern w:val="0"/>
                <w:sz w:val="18"/>
                <w:szCs w:val="18"/>
              </w:rPr>
              <w:lastRenderedPageBreak/>
              <w:t xml:space="preserve">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1459B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44C5BBAD"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0FAF3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YXTTZY01D</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4C0FBF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A8DF9C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3B548F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1.13%-2.13%(年化)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CBC688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 xml:space="preserve">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0292C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2026年6月5日</w:t>
            </w:r>
          </w:p>
        </w:tc>
      </w:tr>
      <w:tr w:rsidR="00366D02" w:rsidRPr="00366D02" w14:paraId="31F958A9"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0BDBE8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YXTTZY01E</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A43235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CAFF32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2.45%-3.85%(年化)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5103FF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1.33%-2.33%(年化)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72B8E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 xml:space="preserve">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2D3FE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2026年6月5日</w:t>
            </w:r>
          </w:p>
        </w:tc>
      </w:tr>
      <w:tr w:rsidR="00366D02" w:rsidRPr="00366D02" w14:paraId="23B55337"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5CB19C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YXTTZY01G</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BA8744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中银理财-悦享天添卓越专享版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880CBB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1.50%-2.50%(年化)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013E6BF"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1.18%-2.18%(年化)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688213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w:t>
            </w:r>
            <w:r w:rsidRPr="00366D02">
              <w:rPr>
                <w:rFonts w:ascii="宋体" w:eastAsia="宋体" w:hAnsi="宋体" w:cs="宋体" w:hint="eastAsia"/>
                <w:kern w:val="0"/>
                <w:sz w:val="18"/>
                <w:szCs w:val="18"/>
              </w:rPr>
              <w:lastRenderedPageBreak/>
              <w:t xml:space="preserve">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6F810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6E84F7A"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E463A0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YXTTZY01H</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72CD83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E7070E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AA8387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1.13%-2.13%(年化)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8B125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w:t>
            </w:r>
            <w:r w:rsidRPr="00366D02">
              <w:rPr>
                <w:rFonts w:ascii="宋体" w:eastAsia="宋体" w:hAnsi="宋体" w:cs="宋体" w:hint="eastAsia"/>
                <w:kern w:val="0"/>
                <w:sz w:val="18"/>
                <w:szCs w:val="18"/>
              </w:rPr>
              <w:lastRenderedPageBreak/>
              <w:t xml:space="preserve">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4A3BE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0A30D85"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93DD74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YXTTZY01I</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477D3F2"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40AC40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2.40%-3.80%(年化)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C0E331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1.18%-2.18%(年化)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CA628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w:t>
            </w:r>
            <w:r w:rsidRPr="00366D02">
              <w:rPr>
                <w:rFonts w:ascii="宋体" w:eastAsia="宋体" w:hAnsi="宋体" w:cs="宋体" w:hint="eastAsia"/>
                <w:kern w:val="0"/>
                <w:sz w:val="18"/>
                <w:szCs w:val="18"/>
              </w:rPr>
              <w:lastRenderedPageBreak/>
              <w:t xml:space="preserve">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31B96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6C542B88"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A4A846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YXTTZY01J</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7C547A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65A469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2.00%-3.00%(年化)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0527A1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1.28%-2.28%(年化)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23053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w:t>
            </w:r>
            <w:r w:rsidRPr="00366D02">
              <w:rPr>
                <w:rFonts w:ascii="宋体" w:eastAsia="宋体" w:hAnsi="宋体" w:cs="宋体" w:hint="eastAsia"/>
                <w:kern w:val="0"/>
                <w:sz w:val="18"/>
                <w:szCs w:val="18"/>
              </w:rPr>
              <w:lastRenderedPageBreak/>
              <w:t xml:space="preserve">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8C242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04E96AA7"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416FD2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YXTTZY01K</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0FAF85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中银理财-悦享天添卓越版</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7170C5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1.90%-3.40%(年化)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A40FF1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1.13%-2.13%(年化)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86992D"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w:t>
            </w:r>
            <w:r w:rsidRPr="00366D02">
              <w:rPr>
                <w:rFonts w:ascii="宋体" w:eastAsia="宋体" w:hAnsi="宋体" w:cs="宋体" w:hint="eastAsia"/>
                <w:kern w:val="0"/>
                <w:sz w:val="18"/>
                <w:szCs w:val="18"/>
              </w:rPr>
              <w:lastRenderedPageBreak/>
              <w:t xml:space="preserve">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AF374D"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103DE51"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9AD4EC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YXRRKA</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8B4E8E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F5815B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2.40%-3.40%(年化)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14552CF"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1.29%-2.29%(年化)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86C6C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w:t>
            </w:r>
            <w:r w:rsidRPr="00366D02">
              <w:rPr>
                <w:rFonts w:ascii="宋体" w:eastAsia="宋体" w:hAnsi="宋体" w:cs="宋体" w:hint="eastAsia"/>
                <w:kern w:val="0"/>
                <w:sz w:val="18"/>
                <w:szCs w:val="18"/>
              </w:rPr>
              <w:lastRenderedPageBreak/>
              <w:t xml:space="preserve">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84E2F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1406E74D"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C74B94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YXRRKB</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4F5535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28B8D1F"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1.20%-2.20%(年化)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EB1A78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1.34%-2.34%(年化)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0754BB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w:t>
            </w:r>
            <w:r w:rsidRPr="00366D02">
              <w:rPr>
                <w:rFonts w:ascii="宋体" w:eastAsia="宋体" w:hAnsi="宋体" w:cs="宋体" w:hint="eastAsia"/>
                <w:kern w:val="0"/>
                <w:sz w:val="18"/>
                <w:szCs w:val="18"/>
              </w:rPr>
              <w:lastRenderedPageBreak/>
              <w:t xml:space="preserve">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E5E174"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2364A525"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7E4256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YXRRKC</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67ABAC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D5B40A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2.30%-3.30%(年化)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CC058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FD1B7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w:t>
            </w:r>
            <w:r w:rsidRPr="00366D02">
              <w:rPr>
                <w:rFonts w:ascii="宋体" w:eastAsia="宋体" w:hAnsi="宋体" w:cs="宋体" w:hint="eastAsia"/>
                <w:kern w:val="0"/>
                <w:sz w:val="18"/>
                <w:szCs w:val="18"/>
              </w:rPr>
              <w:lastRenderedPageBreak/>
              <w:t xml:space="preserve">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13244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E35BBD1"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72049FD"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YXRRKD</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CC36F0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0879D5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2.20%-3.20%(年化)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DABC9C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1.14%-2.14%(年化)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67BEF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w:t>
            </w:r>
            <w:r w:rsidRPr="00366D02">
              <w:rPr>
                <w:rFonts w:ascii="宋体" w:eastAsia="宋体" w:hAnsi="宋体" w:cs="宋体" w:hint="eastAsia"/>
                <w:kern w:val="0"/>
                <w:sz w:val="18"/>
                <w:szCs w:val="18"/>
              </w:rPr>
              <w:lastRenderedPageBreak/>
              <w:t xml:space="preserve">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15D91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2DC6678D"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E731BD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YXRRKE</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0FEE11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D0D0F3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2.35%-3.35%(年化)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90E444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1.29%-2.29%(年化)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5DCBE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w:t>
            </w:r>
            <w:r w:rsidRPr="00366D02">
              <w:rPr>
                <w:rFonts w:ascii="宋体" w:eastAsia="宋体" w:hAnsi="宋体" w:cs="宋体" w:hint="eastAsia"/>
                <w:kern w:val="0"/>
                <w:sz w:val="18"/>
                <w:szCs w:val="18"/>
              </w:rPr>
              <w:lastRenderedPageBreak/>
              <w:t xml:space="preserve">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63552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212BB346"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F7F507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YXRRKF</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23F6AB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5EE5EE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2.30%-3.30%(年化)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4BC7F83"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74C77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w:t>
            </w:r>
            <w:r w:rsidRPr="00366D02">
              <w:rPr>
                <w:rFonts w:ascii="宋体" w:eastAsia="宋体" w:hAnsi="宋体" w:cs="宋体" w:hint="eastAsia"/>
                <w:kern w:val="0"/>
                <w:sz w:val="18"/>
                <w:szCs w:val="18"/>
              </w:rPr>
              <w:lastRenderedPageBreak/>
              <w:t xml:space="preserve">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15ECD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704947B4"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4893CA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YXRRKG</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FE7A8CE"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543C92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2.30%-3.30%(年化)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4884FE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1.14%-2.14%(年化)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6E4B5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w:t>
            </w:r>
            <w:r w:rsidRPr="00366D02">
              <w:rPr>
                <w:rFonts w:ascii="宋体" w:eastAsia="宋体" w:hAnsi="宋体" w:cs="宋体" w:hint="eastAsia"/>
                <w:kern w:val="0"/>
                <w:sz w:val="18"/>
                <w:szCs w:val="18"/>
              </w:rPr>
              <w:lastRenderedPageBreak/>
              <w:t xml:space="preserve">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4D8DE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2CAE8521"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650C97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YXRRKH</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44DA47D"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1AC031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2.30%-3.30%(年化)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F002FC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34A5C6"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w:t>
            </w:r>
            <w:r w:rsidRPr="00366D02">
              <w:rPr>
                <w:rFonts w:ascii="宋体" w:eastAsia="宋体" w:hAnsi="宋体" w:cs="宋体" w:hint="eastAsia"/>
                <w:kern w:val="0"/>
                <w:sz w:val="18"/>
                <w:szCs w:val="18"/>
              </w:rPr>
              <w:lastRenderedPageBreak/>
              <w:t xml:space="preserve">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C892A4"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BCE9B1C"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E361DE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YXRRKI</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D2500E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F9F7DC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2.30%-3.30%(年化)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A9CE95"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66EAF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w:t>
            </w:r>
            <w:r w:rsidRPr="00366D02">
              <w:rPr>
                <w:rFonts w:ascii="宋体" w:eastAsia="宋体" w:hAnsi="宋体" w:cs="宋体" w:hint="eastAsia"/>
                <w:kern w:val="0"/>
                <w:sz w:val="18"/>
                <w:szCs w:val="18"/>
              </w:rPr>
              <w:lastRenderedPageBreak/>
              <w:t xml:space="preserve">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4FFDF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4CA9BDFB"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0216BB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YXRRKJ</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D2E56E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5C976D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2.35%-3.35%(年化)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CE137E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1.29%-2.29%(年化)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296C6F"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w:t>
            </w:r>
            <w:r w:rsidRPr="00366D02">
              <w:rPr>
                <w:rFonts w:ascii="宋体" w:eastAsia="宋体" w:hAnsi="宋体" w:cs="宋体" w:hint="eastAsia"/>
                <w:kern w:val="0"/>
                <w:sz w:val="18"/>
                <w:szCs w:val="18"/>
              </w:rPr>
              <w:lastRenderedPageBreak/>
              <w:t xml:space="preserve">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31B2E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D572D6C"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6EA338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YXRRKK</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1C6B63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F49AB2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1.25%-2.25%(年化)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838007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75B08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w:t>
            </w:r>
            <w:r w:rsidRPr="00366D02">
              <w:rPr>
                <w:rFonts w:ascii="宋体" w:eastAsia="宋体" w:hAnsi="宋体" w:cs="宋体" w:hint="eastAsia"/>
                <w:kern w:val="0"/>
                <w:sz w:val="18"/>
                <w:szCs w:val="18"/>
              </w:rPr>
              <w:lastRenderedPageBreak/>
              <w:t xml:space="preserve">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026E8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3D383470"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4767627"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YXRRKM</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F9FA1E9"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136FA4"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1.25%-2.25%(年化)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6AEB42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412FC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w:t>
            </w:r>
            <w:r w:rsidRPr="00366D02">
              <w:rPr>
                <w:rFonts w:ascii="宋体" w:eastAsia="宋体" w:hAnsi="宋体" w:cs="宋体" w:hint="eastAsia"/>
                <w:kern w:val="0"/>
                <w:sz w:val="18"/>
                <w:szCs w:val="18"/>
              </w:rPr>
              <w:lastRenderedPageBreak/>
              <w:t xml:space="preserve">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D1C9D1"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lastRenderedPageBreak/>
              <w:t>2026年6月5日</w:t>
            </w:r>
          </w:p>
        </w:tc>
      </w:tr>
      <w:tr w:rsidR="00366D02" w:rsidRPr="00366D02" w14:paraId="5A98C2B7" w14:textId="77777777" w:rsidTr="002C09B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0407A8A"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YXRRKN</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A9CF68"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中银理财-悦享日日开</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186A95C"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1.00%-2.00%(年化)</w:t>
            </w:r>
          </w:p>
        </w:tc>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61C33CB"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1.24%-2.24%(年化)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FBD8E0"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 xml:space="preserve">本理财产品为固定收益类产品，主要投资于债券、货币市场工具等固定收益类资产，并适当参与以对冲为目的的金融衍生品交易。以产品投资银行存款和同业存单仓位30%-50%，利率债仓位0%-10%，信用债仓位50%-70%，组合杠杆率110%为例，业绩比较基准参考本产品发行时已知的中债-综合财富（1年以下）指数收益率、中债同业存单总财富指数收益率，考虑本理财产品综合费率、资本利得收益并结合产品投资策略进行测算得出。业绩比较基准不是预期收益率，不代表产品的未来表现和实际收益，不构成对产品收益的承诺。 </w:t>
            </w:r>
          </w:p>
        </w:tc>
        <w:tc>
          <w:tcPr>
            <w:tcW w:w="11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BBD2F4" w14:textId="77777777" w:rsidR="00366D02" w:rsidRPr="00366D02" w:rsidRDefault="00366D02" w:rsidP="00366D02">
            <w:pPr>
              <w:widowControl/>
              <w:spacing w:line="300" w:lineRule="atLeast"/>
              <w:jc w:val="left"/>
              <w:rPr>
                <w:rFonts w:ascii="宋体" w:eastAsia="宋体" w:hAnsi="宋体" w:cs="宋体"/>
                <w:kern w:val="0"/>
                <w:sz w:val="18"/>
                <w:szCs w:val="18"/>
              </w:rPr>
            </w:pPr>
            <w:r w:rsidRPr="00366D02">
              <w:rPr>
                <w:rFonts w:ascii="宋体" w:eastAsia="宋体" w:hAnsi="宋体" w:cs="宋体" w:hint="eastAsia"/>
                <w:kern w:val="0"/>
                <w:sz w:val="18"/>
                <w:szCs w:val="18"/>
              </w:rPr>
              <w:t>2026年6月5日</w:t>
            </w:r>
          </w:p>
        </w:tc>
      </w:tr>
    </w:tbl>
    <w:p w14:paraId="3B9D8F99" w14:textId="4684A31C"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lastRenderedPageBreak/>
        <w:t>上述调整仅涉及产品业绩比较基准，产品费率及投资范围、投资品种、投资比例等产品要素不变。</w:t>
      </w:r>
    </w:p>
    <w:p w14:paraId="269AB088" w14:textId="6707AA7A"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t>为充分保护客户利益，对于在生效</w:t>
      </w:r>
      <w:r w:rsidR="009E5FA6">
        <w:rPr>
          <w:rFonts w:ascii="Verdana" w:eastAsia="宋体" w:hAnsi="Verdana" w:cs="宋体" w:hint="eastAsia"/>
          <w:color w:val="535353"/>
          <w:kern w:val="0"/>
          <w:szCs w:val="21"/>
        </w:rPr>
        <w:t>日</w:t>
      </w:r>
      <w:r w:rsidRPr="002A0032">
        <w:rPr>
          <w:rFonts w:ascii="Verdana" w:eastAsia="宋体" w:hAnsi="Verdana" w:cs="宋体"/>
          <w:color w:val="535353"/>
          <w:kern w:val="0"/>
          <w:szCs w:val="21"/>
        </w:rPr>
        <w:t>前购买相关理财产品份额的客户，如不接受</w:t>
      </w:r>
      <w:r w:rsidR="009E5FA6">
        <w:rPr>
          <w:rFonts w:ascii="Verdana" w:eastAsia="宋体" w:hAnsi="Verdana" w:cs="宋体" w:hint="eastAsia"/>
          <w:color w:val="535353"/>
          <w:kern w:val="0"/>
          <w:szCs w:val="21"/>
        </w:rPr>
        <w:t>调整</w:t>
      </w:r>
      <w:r w:rsidRPr="002A0032">
        <w:rPr>
          <w:rFonts w:ascii="Verdana" w:eastAsia="宋体" w:hAnsi="Verdana" w:cs="宋体"/>
          <w:color w:val="535353"/>
          <w:kern w:val="0"/>
          <w:szCs w:val="21"/>
        </w:rPr>
        <w:t>内容，可将所持该理财产品份额于调整后业绩比较基准生效日前的开放日全部赎回，逾期未赎回或仅部分赎回的，视为认可本公告所示调整。</w:t>
      </w:r>
    </w:p>
    <w:p w14:paraId="177323FB" w14:textId="77777777"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t>感谢您一直以来对中银理财产品的厚爱，我公司将继续为您提供专业的理财服务！</w:t>
      </w:r>
    </w:p>
    <w:p w14:paraId="37380E1B" w14:textId="77777777" w:rsidR="002A0032" w:rsidRPr="002A0032" w:rsidRDefault="002A0032" w:rsidP="002A0032">
      <w:pPr>
        <w:widowControl/>
        <w:spacing w:before="150" w:after="150" w:line="390" w:lineRule="atLeast"/>
        <w:ind w:firstLine="480"/>
        <w:jc w:val="left"/>
        <w:rPr>
          <w:rFonts w:ascii="Verdana" w:eastAsia="宋体" w:hAnsi="Verdana" w:cs="宋体"/>
          <w:color w:val="535353"/>
          <w:kern w:val="0"/>
          <w:szCs w:val="21"/>
        </w:rPr>
      </w:pPr>
      <w:r w:rsidRPr="002A0032">
        <w:rPr>
          <w:rFonts w:ascii="Verdana" w:eastAsia="宋体" w:hAnsi="Verdana" w:cs="宋体"/>
          <w:color w:val="535353"/>
          <w:kern w:val="0"/>
          <w:szCs w:val="21"/>
        </w:rPr>
        <w:t>特此公告</w:t>
      </w:r>
    </w:p>
    <w:p w14:paraId="7C81E4F1" w14:textId="5C68A7AA" w:rsidR="002A0032" w:rsidRPr="002A0032" w:rsidRDefault="002A0032" w:rsidP="002A0032">
      <w:pPr>
        <w:widowControl/>
        <w:spacing w:before="150" w:after="150" w:line="390" w:lineRule="atLeast"/>
        <w:ind w:firstLine="480"/>
        <w:jc w:val="right"/>
        <w:rPr>
          <w:rFonts w:ascii="Verdana" w:eastAsia="宋体" w:hAnsi="Verdana" w:cs="宋体"/>
          <w:color w:val="535353"/>
          <w:kern w:val="0"/>
          <w:szCs w:val="21"/>
        </w:rPr>
      </w:pPr>
      <w:r w:rsidRPr="002A0032">
        <w:rPr>
          <w:rFonts w:ascii="Verdana" w:eastAsia="宋体" w:hAnsi="Verdana" w:cs="宋体"/>
          <w:color w:val="535353"/>
          <w:kern w:val="0"/>
          <w:szCs w:val="21"/>
        </w:rPr>
        <w:t>中银理财有限责任公司</w:t>
      </w:r>
      <w:r w:rsidRPr="002A0032">
        <w:rPr>
          <w:rFonts w:ascii="Verdana" w:eastAsia="宋体" w:hAnsi="Verdana" w:cs="宋体"/>
          <w:color w:val="535353"/>
          <w:kern w:val="0"/>
          <w:szCs w:val="21"/>
        </w:rPr>
        <w:br/>
      </w:r>
      <w:r w:rsidR="008E573D" w:rsidRPr="008E573D">
        <w:rPr>
          <w:rFonts w:ascii="Verdana" w:eastAsia="宋体" w:hAnsi="Verdana" w:cs="宋体"/>
          <w:color w:val="535353"/>
          <w:kern w:val="0"/>
          <w:szCs w:val="21"/>
        </w:rPr>
        <w:t>2026</w:t>
      </w:r>
      <w:r w:rsidR="008E573D" w:rsidRPr="008E573D">
        <w:rPr>
          <w:rFonts w:ascii="Verdana" w:eastAsia="宋体" w:hAnsi="Verdana" w:cs="宋体"/>
          <w:color w:val="535353"/>
          <w:kern w:val="0"/>
          <w:szCs w:val="21"/>
        </w:rPr>
        <w:t>年</w:t>
      </w:r>
      <w:r w:rsidR="008E573D" w:rsidRPr="008E573D">
        <w:rPr>
          <w:rFonts w:ascii="Verdana" w:eastAsia="宋体" w:hAnsi="Verdana" w:cs="宋体"/>
          <w:color w:val="535353"/>
          <w:kern w:val="0"/>
          <w:szCs w:val="21"/>
        </w:rPr>
        <w:t>6</w:t>
      </w:r>
      <w:r w:rsidR="008E573D" w:rsidRPr="008E573D">
        <w:rPr>
          <w:rFonts w:ascii="Verdana" w:eastAsia="宋体" w:hAnsi="Verdana" w:cs="宋体"/>
          <w:color w:val="535353"/>
          <w:kern w:val="0"/>
          <w:szCs w:val="21"/>
        </w:rPr>
        <w:t>月</w:t>
      </w:r>
      <w:r w:rsidR="008E573D" w:rsidRPr="008E573D">
        <w:rPr>
          <w:rFonts w:ascii="Verdana" w:eastAsia="宋体" w:hAnsi="Verdana" w:cs="宋体"/>
          <w:color w:val="535353"/>
          <w:kern w:val="0"/>
          <w:szCs w:val="21"/>
        </w:rPr>
        <w:t>2</w:t>
      </w:r>
      <w:r w:rsidR="008E573D" w:rsidRPr="008E573D">
        <w:rPr>
          <w:rFonts w:ascii="Verdana" w:eastAsia="宋体" w:hAnsi="Verdana" w:cs="宋体"/>
          <w:color w:val="535353"/>
          <w:kern w:val="0"/>
          <w:szCs w:val="21"/>
        </w:rPr>
        <w:t>日</w:t>
      </w:r>
    </w:p>
    <w:p w14:paraId="1E38E82A" w14:textId="77777777" w:rsidR="005A47D8" w:rsidRDefault="005A47D8"/>
    <w:sectPr w:rsidR="005A4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36F8" w14:textId="77777777" w:rsidR="002F7B0C" w:rsidRDefault="002F7B0C" w:rsidP="00D73FD0">
      <w:r>
        <w:separator/>
      </w:r>
    </w:p>
  </w:endnote>
  <w:endnote w:type="continuationSeparator" w:id="0">
    <w:p w14:paraId="266925B5" w14:textId="77777777" w:rsidR="002F7B0C" w:rsidRDefault="002F7B0C" w:rsidP="00D7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EAD6E" w14:textId="77777777" w:rsidR="002F7B0C" w:rsidRDefault="002F7B0C" w:rsidP="00D73FD0">
      <w:r>
        <w:separator/>
      </w:r>
    </w:p>
  </w:footnote>
  <w:footnote w:type="continuationSeparator" w:id="0">
    <w:p w14:paraId="0E0AA5C4" w14:textId="77777777" w:rsidR="002F7B0C" w:rsidRDefault="002F7B0C" w:rsidP="00D73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81"/>
    <w:rsid w:val="001635DD"/>
    <w:rsid w:val="002A0032"/>
    <w:rsid w:val="002A6075"/>
    <w:rsid w:val="002C09B4"/>
    <w:rsid w:val="002F09AF"/>
    <w:rsid w:val="002F7B0C"/>
    <w:rsid w:val="00350C92"/>
    <w:rsid w:val="00363FE8"/>
    <w:rsid w:val="00366D02"/>
    <w:rsid w:val="003D2946"/>
    <w:rsid w:val="005A47D8"/>
    <w:rsid w:val="006E032A"/>
    <w:rsid w:val="008B0C81"/>
    <w:rsid w:val="008B52E3"/>
    <w:rsid w:val="008E573D"/>
    <w:rsid w:val="009A3A9E"/>
    <w:rsid w:val="009E5FA6"/>
    <w:rsid w:val="00B3191D"/>
    <w:rsid w:val="00C04F34"/>
    <w:rsid w:val="00CF47D2"/>
    <w:rsid w:val="00D73FD0"/>
    <w:rsid w:val="00FF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1BA30"/>
  <w15:chartTrackingRefBased/>
  <w15:docId w15:val="{79B69A02-A684-4596-AAFF-87728A57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A003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A0032"/>
    <w:rPr>
      <w:rFonts w:ascii="宋体" w:eastAsia="宋体" w:hAnsi="宋体" w:cs="宋体"/>
      <w:b/>
      <w:bCs/>
      <w:kern w:val="0"/>
      <w:sz w:val="36"/>
      <w:szCs w:val="36"/>
    </w:rPr>
  </w:style>
  <w:style w:type="paragraph" w:customStyle="1" w:styleId="contime">
    <w:name w:val="con_time"/>
    <w:basedOn w:val="a"/>
    <w:rsid w:val="002A003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A0032"/>
    <w:rPr>
      <w:color w:val="0000FF"/>
      <w:u w:val="single"/>
    </w:rPr>
  </w:style>
  <w:style w:type="paragraph" w:styleId="a4">
    <w:name w:val="Normal (Web)"/>
    <w:basedOn w:val="a"/>
    <w:uiPriority w:val="99"/>
    <w:semiHidden/>
    <w:unhideWhenUsed/>
    <w:rsid w:val="002A0032"/>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2A0032"/>
    <w:rPr>
      <w:sz w:val="21"/>
      <w:szCs w:val="21"/>
    </w:rPr>
  </w:style>
  <w:style w:type="paragraph" w:styleId="a6">
    <w:name w:val="annotation text"/>
    <w:basedOn w:val="a"/>
    <w:link w:val="a7"/>
    <w:uiPriority w:val="99"/>
    <w:semiHidden/>
    <w:unhideWhenUsed/>
    <w:rsid w:val="002A0032"/>
    <w:pPr>
      <w:jc w:val="left"/>
    </w:pPr>
  </w:style>
  <w:style w:type="character" w:customStyle="1" w:styleId="a7">
    <w:name w:val="批注文字 字符"/>
    <w:basedOn w:val="a0"/>
    <w:link w:val="a6"/>
    <w:uiPriority w:val="99"/>
    <w:semiHidden/>
    <w:rsid w:val="002A0032"/>
  </w:style>
  <w:style w:type="paragraph" w:styleId="a8">
    <w:name w:val="annotation subject"/>
    <w:basedOn w:val="a6"/>
    <w:next w:val="a6"/>
    <w:link w:val="a9"/>
    <w:uiPriority w:val="99"/>
    <w:semiHidden/>
    <w:unhideWhenUsed/>
    <w:rsid w:val="002A0032"/>
    <w:rPr>
      <w:b/>
      <w:bCs/>
    </w:rPr>
  </w:style>
  <w:style w:type="character" w:customStyle="1" w:styleId="a9">
    <w:name w:val="批注主题 字符"/>
    <w:basedOn w:val="a7"/>
    <w:link w:val="a8"/>
    <w:uiPriority w:val="99"/>
    <w:semiHidden/>
    <w:rsid w:val="002A0032"/>
    <w:rPr>
      <w:b/>
      <w:bCs/>
    </w:rPr>
  </w:style>
  <w:style w:type="paragraph" w:styleId="aa">
    <w:name w:val="Balloon Text"/>
    <w:basedOn w:val="a"/>
    <w:link w:val="ab"/>
    <w:uiPriority w:val="99"/>
    <w:semiHidden/>
    <w:unhideWhenUsed/>
    <w:rsid w:val="002A0032"/>
    <w:rPr>
      <w:sz w:val="18"/>
      <w:szCs w:val="18"/>
    </w:rPr>
  </w:style>
  <w:style w:type="character" w:customStyle="1" w:styleId="ab">
    <w:name w:val="批注框文本 字符"/>
    <w:basedOn w:val="a0"/>
    <w:link w:val="aa"/>
    <w:uiPriority w:val="99"/>
    <w:semiHidden/>
    <w:rsid w:val="002A0032"/>
    <w:rPr>
      <w:sz w:val="18"/>
      <w:szCs w:val="18"/>
    </w:rPr>
  </w:style>
  <w:style w:type="paragraph" w:styleId="ac">
    <w:name w:val="header"/>
    <w:basedOn w:val="a"/>
    <w:link w:val="ad"/>
    <w:uiPriority w:val="99"/>
    <w:unhideWhenUsed/>
    <w:rsid w:val="00D73FD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D73FD0"/>
    <w:rPr>
      <w:sz w:val="18"/>
      <w:szCs w:val="18"/>
    </w:rPr>
  </w:style>
  <w:style w:type="paragraph" w:styleId="ae">
    <w:name w:val="footer"/>
    <w:basedOn w:val="a"/>
    <w:link w:val="af"/>
    <w:uiPriority w:val="99"/>
    <w:unhideWhenUsed/>
    <w:rsid w:val="00D73FD0"/>
    <w:pPr>
      <w:tabs>
        <w:tab w:val="center" w:pos="4153"/>
        <w:tab w:val="right" w:pos="8306"/>
      </w:tabs>
      <w:snapToGrid w:val="0"/>
      <w:jc w:val="left"/>
    </w:pPr>
    <w:rPr>
      <w:sz w:val="18"/>
      <w:szCs w:val="18"/>
    </w:rPr>
  </w:style>
  <w:style w:type="character" w:customStyle="1" w:styleId="af">
    <w:name w:val="页脚 字符"/>
    <w:basedOn w:val="a0"/>
    <w:link w:val="ae"/>
    <w:uiPriority w:val="99"/>
    <w:rsid w:val="00D73F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6014">
      <w:bodyDiv w:val="1"/>
      <w:marLeft w:val="0"/>
      <w:marRight w:val="0"/>
      <w:marTop w:val="0"/>
      <w:marBottom w:val="0"/>
      <w:divBdr>
        <w:top w:val="none" w:sz="0" w:space="0" w:color="auto"/>
        <w:left w:val="none" w:sz="0" w:space="0" w:color="auto"/>
        <w:bottom w:val="none" w:sz="0" w:space="0" w:color="auto"/>
        <w:right w:val="none" w:sz="0" w:space="0" w:color="auto"/>
      </w:divBdr>
    </w:div>
    <w:div w:id="305820031">
      <w:bodyDiv w:val="1"/>
      <w:marLeft w:val="0"/>
      <w:marRight w:val="0"/>
      <w:marTop w:val="0"/>
      <w:marBottom w:val="0"/>
      <w:divBdr>
        <w:top w:val="none" w:sz="0" w:space="0" w:color="auto"/>
        <w:left w:val="none" w:sz="0" w:space="0" w:color="auto"/>
        <w:bottom w:val="none" w:sz="0" w:space="0" w:color="auto"/>
        <w:right w:val="none" w:sz="0" w:space="0" w:color="auto"/>
      </w:divBdr>
      <w:divsChild>
        <w:div w:id="678318147">
          <w:marLeft w:val="0"/>
          <w:marRight w:val="0"/>
          <w:marTop w:val="210"/>
          <w:marBottom w:val="450"/>
          <w:divBdr>
            <w:top w:val="none" w:sz="0" w:space="0" w:color="auto"/>
            <w:left w:val="none" w:sz="0" w:space="0" w:color="auto"/>
            <w:bottom w:val="single" w:sz="6" w:space="0" w:color="DADADA"/>
            <w:right w:val="none" w:sz="0" w:space="0" w:color="auto"/>
          </w:divBdr>
        </w:div>
        <w:div w:id="1204102684">
          <w:marLeft w:val="0"/>
          <w:marRight w:val="0"/>
          <w:marTop w:val="0"/>
          <w:marBottom w:val="0"/>
          <w:divBdr>
            <w:top w:val="none" w:sz="0" w:space="0" w:color="auto"/>
            <w:left w:val="none" w:sz="0" w:space="0" w:color="auto"/>
            <w:bottom w:val="none" w:sz="0" w:space="0" w:color="auto"/>
            <w:right w:val="none" w:sz="0" w:space="0" w:color="auto"/>
          </w:divBdr>
          <w:divsChild>
            <w:div w:id="13153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赵洪波</dc:creator>
  <cp:keywords/>
  <dc:description/>
  <cp:lastModifiedBy>杜心怡</cp:lastModifiedBy>
  <cp:revision>17</cp:revision>
  <dcterms:created xsi:type="dcterms:W3CDTF">2024-09-19T10:30:00Z</dcterms:created>
  <dcterms:modified xsi:type="dcterms:W3CDTF">2026-06-03T09:41:00Z</dcterms:modified>
</cp:coreProperties>
</file>