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39" w:rsidRPr="00E27F99" w:rsidRDefault="00D937B3">
      <w:pPr>
        <w:adjustRightInd w:val="0"/>
        <w:snapToGrid w:val="0"/>
        <w:spacing w:line="560" w:lineRule="atLeast"/>
        <w:jc w:val="center"/>
        <w:rPr>
          <w:rFonts w:ascii="黑体" w:eastAsia="黑体" w:hAnsi="黑体" w:cs="宋体"/>
          <w:b/>
          <w:snapToGrid w:val="0"/>
          <w:kern w:val="0"/>
          <w:sz w:val="28"/>
          <w:szCs w:val="28"/>
        </w:rPr>
      </w:pPr>
      <w:r w:rsidRPr="00E27F99">
        <w:rPr>
          <w:rFonts w:ascii="黑体" w:eastAsia="黑体" w:hAnsi="黑体" w:cs="宋体" w:hint="eastAsia"/>
          <w:b/>
          <w:snapToGrid w:val="0"/>
          <w:kern w:val="0"/>
          <w:sz w:val="28"/>
          <w:szCs w:val="28"/>
        </w:rPr>
        <w:t>客户权益须知</w:t>
      </w:r>
    </w:p>
    <w:p w:rsidR="00D87739" w:rsidRPr="00E27F99" w:rsidRDefault="00D937B3">
      <w:pPr>
        <w:tabs>
          <w:tab w:val="left" w:pos="1702"/>
        </w:tabs>
        <w:spacing w:line="260" w:lineRule="exact"/>
        <w:ind w:leftChars="-200" w:left="-420" w:rightChars="-91" w:right="-191" w:firstLineChars="200" w:firstLine="361"/>
        <w:rPr>
          <w:rFonts w:ascii="黑体" w:eastAsia="黑体" w:hAnsi="黑体" w:cs="宋体"/>
          <w:b/>
          <w:sz w:val="18"/>
          <w:szCs w:val="18"/>
        </w:rPr>
      </w:pPr>
      <w:proofErr w:type="gramStart"/>
      <w:r w:rsidRPr="00E27F99">
        <w:rPr>
          <w:rFonts w:ascii="黑体" w:eastAsia="黑体" w:hAnsi="黑体" w:cs="宋体" w:hint="eastAsia"/>
          <w:b/>
          <w:sz w:val="18"/>
          <w:szCs w:val="18"/>
        </w:rPr>
        <w:t>一</w:t>
      </w:r>
      <w:proofErr w:type="gramEnd"/>
      <w:r w:rsidRPr="00E27F99">
        <w:rPr>
          <w:rFonts w:ascii="黑体" w:eastAsia="黑体" w:hAnsi="黑体" w:cs="宋体" w:hint="eastAsia"/>
          <w:b/>
          <w:sz w:val="18"/>
          <w:szCs w:val="18"/>
        </w:rPr>
        <w:t>. 客户办理理财产品的流程</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个人客户持有效身份证件原件、存折或银行卡，到我行理财产品销售网点办理理财产品购买。委托代办人办理的提供本人、代理人有效身份证件和《授权委托书》。非首次购买可通过我</w:t>
      </w:r>
      <w:proofErr w:type="gramStart"/>
      <w:r w:rsidRPr="00E27F99">
        <w:rPr>
          <w:rFonts w:ascii="黑体" w:eastAsia="黑体" w:hAnsi="黑体" w:cs="宋体" w:hint="eastAsia"/>
          <w:sz w:val="18"/>
          <w:szCs w:val="18"/>
        </w:rPr>
        <w:t>行其他</w:t>
      </w:r>
      <w:proofErr w:type="gramEnd"/>
      <w:r w:rsidRPr="00E27F99">
        <w:rPr>
          <w:rFonts w:ascii="黑体" w:eastAsia="黑体" w:hAnsi="黑体" w:cs="宋体" w:hint="eastAsia"/>
          <w:sz w:val="18"/>
          <w:szCs w:val="18"/>
        </w:rPr>
        <w:t>渠道办理。</w:t>
      </w:r>
    </w:p>
    <w:p w:rsidR="00B40172" w:rsidRPr="00B40172" w:rsidRDefault="00B40172">
      <w:pPr>
        <w:tabs>
          <w:tab w:val="left" w:pos="1702"/>
        </w:tabs>
        <w:spacing w:line="260" w:lineRule="exact"/>
        <w:ind w:leftChars="-202" w:left="-424" w:rightChars="-91" w:right="-191" w:firstLineChars="236" w:firstLine="425"/>
        <w:rPr>
          <w:rFonts w:ascii="黑体" w:eastAsia="黑体" w:hAnsi="黑体" w:cs="宋体"/>
          <w:sz w:val="18"/>
          <w:szCs w:val="18"/>
        </w:rPr>
      </w:pPr>
      <w:r w:rsidRPr="0069533C">
        <w:rPr>
          <w:rFonts w:ascii="黑体" w:eastAsia="黑体" w:hAnsi="黑体" w:cs="黑体" w:hint="eastAsia"/>
          <w:snapToGrid w:val="0"/>
          <w:sz w:val="18"/>
          <w:szCs w:val="18"/>
        </w:rPr>
        <w:t>公司客户携带营业执照</w:t>
      </w:r>
      <w:r w:rsidRPr="0069533C">
        <w:rPr>
          <w:rFonts w:ascii="黑体" w:eastAsia="黑体" w:hAnsi="黑体" w:cs="黑体"/>
          <w:snapToGrid w:val="0"/>
          <w:sz w:val="18"/>
          <w:szCs w:val="18"/>
        </w:rPr>
        <w:t>/</w:t>
      </w:r>
      <w:r w:rsidRPr="0069533C">
        <w:rPr>
          <w:rFonts w:ascii="黑体" w:eastAsia="黑体" w:hAnsi="黑体" w:cs="黑体" w:hint="eastAsia"/>
          <w:snapToGrid w:val="0"/>
          <w:sz w:val="18"/>
          <w:szCs w:val="18"/>
        </w:rPr>
        <w:t>农村集体经济组织证明书的原件及复印件，企业法定代表人有效身份证明资料的原件和复印件，如委托代办人办理的，</w:t>
      </w:r>
      <w:r>
        <w:rPr>
          <w:rFonts w:ascii="黑体" w:eastAsia="黑体" w:hAnsi="黑体" w:cs="黑体" w:hint="eastAsia"/>
          <w:snapToGrid w:val="0"/>
          <w:sz w:val="18"/>
          <w:szCs w:val="18"/>
        </w:rPr>
        <w:t>还需提供代办人有效身份证明资料的原件和复印件、《授权委托书》</w:t>
      </w:r>
      <w:r w:rsidRPr="0069533C">
        <w:rPr>
          <w:rFonts w:ascii="黑体" w:eastAsia="黑体" w:hAnsi="黑体" w:cs="黑体" w:hint="eastAsia"/>
          <w:snapToGrid w:val="0"/>
          <w:sz w:val="18"/>
          <w:szCs w:val="18"/>
        </w:rPr>
        <w:t>，以上的复印件需要加盖公章到我行各网点</w:t>
      </w:r>
      <w:r>
        <w:rPr>
          <w:rFonts w:ascii="黑体" w:eastAsia="黑体" w:hAnsi="黑体" w:cs="黑体" w:hint="eastAsia"/>
          <w:snapToGrid w:val="0"/>
          <w:sz w:val="18"/>
          <w:szCs w:val="18"/>
        </w:rPr>
        <w:t>或指定代销机构</w:t>
      </w:r>
      <w:r w:rsidRPr="0069533C">
        <w:rPr>
          <w:rFonts w:ascii="黑体" w:eastAsia="黑体" w:hAnsi="黑体" w:cs="黑体" w:hint="eastAsia"/>
          <w:snapToGrid w:val="0"/>
          <w:sz w:val="18"/>
          <w:szCs w:val="18"/>
        </w:rPr>
        <w:t>、网上银行</w:t>
      </w:r>
      <w:r>
        <w:rPr>
          <w:rFonts w:ascii="黑体" w:eastAsia="黑体" w:hAnsi="黑体" w:cs="黑体" w:hint="eastAsia"/>
          <w:snapToGrid w:val="0"/>
          <w:sz w:val="18"/>
          <w:szCs w:val="18"/>
        </w:rPr>
        <w:t>办理购买</w:t>
      </w:r>
      <w:r w:rsidRPr="0069533C">
        <w:rPr>
          <w:rFonts w:ascii="黑体" w:eastAsia="黑体" w:hAnsi="黑体" w:cs="黑体" w:hint="eastAsia"/>
          <w:snapToGrid w:val="0"/>
          <w:sz w:val="18"/>
          <w:szCs w:val="18"/>
        </w:rPr>
        <w:t>。</w:t>
      </w:r>
    </w:p>
    <w:p w:rsidR="00D87739" w:rsidRPr="00E27F99" w:rsidRDefault="00D937B3">
      <w:pPr>
        <w:tabs>
          <w:tab w:val="left" w:pos="1702"/>
        </w:tabs>
        <w:spacing w:line="260" w:lineRule="exact"/>
        <w:ind w:leftChars="-200" w:left="-420" w:rightChars="-91" w:right="-191" w:firstLineChars="200" w:firstLine="420"/>
        <w:rPr>
          <w:rFonts w:ascii="黑体" w:eastAsia="黑体" w:hAnsi="黑体" w:cs="宋体"/>
          <w:b/>
          <w:sz w:val="18"/>
          <w:szCs w:val="18"/>
        </w:rPr>
      </w:pPr>
      <w:r w:rsidRPr="00E27F99">
        <w:rPr>
          <w:rFonts w:ascii="黑体" w:eastAsia="黑体" w:hAnsi="黑体" w:cs="宋体" w:hint="eastAsia"/>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986155</wp:posOffset>
            </wp:positionV>
            <wp:extent cx="3133725" cy="1504950"/>
            <wp:effectExtent l="0" t="0" r="9525" b="0"/>
            <wp:wrapSquare wrapText="bothSides"/>
            <wp:docPr id="7" name="图片 2"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l2"/>
                    <pic:cNvPicPr>
                      <a:picLocks noChangeAspect="1"/>
                    </pic:cNvPicPr>
                  </pic:nvPicPr>
                  <pic:blipFill>
                    <a:blip r:embed="rId8"/>
                    <a:stretch>
                      <a:fillRect/>
                    </a:stretch>
                  </pic:blipFill>
                  <pic:spPr>
                    <a:xfrm>
                      <a:off x="0" y="0"/>
                      <a:ext cx="3133725" cy="1504950"/>
                    </a:xfrm>
                    <a:prstGeom prst="rect">
                      <a:avLst/>
                    </a:prstGeom>
                    <a:noFill/>
                    <a:ln>
                      <a:noFill/>
                    </a:ln>
                  </pic:spPr>
                </pic:pic>
              </a:graphicData>
            </a:graphic>
          </wp:anchor>
        </w:drawing>
      </w:r>
      <w:r w:rsidRPr="00E27F99">
        <w:rPr>
          <w:rFonts w:ascii="黑体" w:eastAsia="黑体" w:hAnsi="黑体" w:cs="宋体" w:hint="eastAsia"/>
          <w:b/>
          <w:sz w:val="18"/>
          <w:szCs w:val="18"/>
        </w:rPr>
        <w:t>二．客户风险承受能力评估流程</w:t>
      </w:r>
      <w:r w:rsidRPr="00E27F99">
        <w:rPr>
          <w:rFonts w:ascii="黑体" w:eastAsia="黑体" w:hAnsi="黑体" w:cs="宋体" w:hint="eastAsia"/>
          <w:b/>
          <w:sz w:val="18"/>
          <w:szCs w:val="18"/>
        </w:rPr>
        <w:tab/>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个人客户首次购买理财产品，须到我行理财产品销售网点进行客户风险承受能力评估。风险承受能力评估超过一年或发生可能影响自身风险承受能力情况的客户，再次购买理财产品时，客户本人必须到理财产品销售网点或通过网上银行重新完成风险承受能力评估。</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napToGrid w:val="0"/>
          <w:kern w:val="0"/>
          <w:sz w:val="18"/>
          <w:szCs w:val="18"/>
        </w:rPr>
      </w:pPr>
      <w:r w:rsidRPr="00E27F99">
        <w:rPr>
          <w:rFonts w:ascii="黑体" w:eastAsia="黑体" w:hAnsi="黑体" w:cs="宋体" w:hint="eastAsia"/>
          <w:snapToGrid w:val="0"/>
          <w:kern w:val="0"/>
          <w:sz w:val="18"/>
          <w:szCs w:val="18"/>
        </w:rPr>
        <w:t>客户风险承受能力评级，从低到高分五级，包括保守型（C1）、稳健型（C2）、平衡型（C3）、进取型（C4）、投机型（C5），其中：</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napToGrid w:val="0"/>
          <w:kern w:val="0"/>
          <w:sz w:val="18"/>
          <w:szCs w:val="18"/>
        </w:rPr>
      </w:pPr>
      <w:r w:rsidRPr="00E27F99">
        <w:rPr>
          <w:rFonts w:ascii="黑体" w:eastAsia="黑体" w:hAnsi="黑体" w:cs="宋体" w:hint="eastAsia"/>
          <w:snapToGrid w:val="0"/>
          <w:kern w:val="0"/>
          <w:sz w:val="18"/>
          <w:szCs w:val="18"/>
        </w:rPr>
        <w:t>C1保守型客户</w:t>
      </w:r>
      <w:r w:rsidRPr="00E27F99">
        <w:rPr>
          <w:rFonts w:ascii="黑体" w:eastAsia="黑体" w:hAnsi="黑体" w:cs="宋体" w:hint="eastAsia"/>
          <w:kern w:val="0"/>
          <w:sz w:val="18"/>
          <w:szCs w:val="18"/>
        </w:rPr>
        <w:t>不希望承担本金风险，但愿意承担一定的短期波动风险，使投资回报潜力略高于银行存款</w:t>
      </w:r>
      <w:r w:rsidRPr="00E27F99">
        <w:rPr>
          <w:rFonts w:ascii="黑体" w:eastAsia="黑体" w:hAnsi="黑体" w:cs="宋体" w:hint="eastAsia"/>
          <w:snapToGrid w:val="0"/>
          <w:kern w:val="0"/>
          <w:sz w:val="18"/>
          <w:szCs w:val="18"/>
        </w:rPr>
        <w:t>。该类客户只能购买风险评级为</w:t>
      </w:r>
      <w:r w:rsidRPr="00E27F99">
        <w:rPr>
          <w:rFonts w:ascii="黑体" w:eastAsia="黑体" w:hAnsi="黑体" w:cs="宋体" w:hint="eastAsia"/>
          <w:kern w:val="0"/>
          <w:sz w:val="18"/>
          <w:szCs w:val="18"/>
        </w:rPr>
        <w:t>谨慎型</w:t>
      </w:r>
      <w:r w:rsidRPr="00E27F99">
        <w:rPr>
          <w:rFonts w:ascii="黑体" w:eastAsia="黑体" w:hAnsi="黑体" w:cs="宋体" w:hint="eastAsia"/>
          <w:snapToGrid w:val="0"/>
          <w:kern w:val="0"/>
          <w:sz w:val="18"/>
          <w:szCs w:val="18"/>
        </w:rPr>
        <w:t>（R1）的理财产品。</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napToGrid w:val="0"/>
          <w:kern w:val="0"/>
          <w:sz w:val="18"/>
          <w:szCs w:val="18"/>
        </w:rPr>
      </w:pPr>
      <w:r w:rsidRPr="00E27F99">
        <w:rPr>
          <w:rFonts w:ascii="黑体" w:eastAsia="黑体" w:hAnsi="黑体" w:cs="宋体" w:hint="eastAsia"/>
          <w:snapToGrid w:val="0"/>
          <w:kern w:val="0"/>
          <w:sz w:val="18"/>
          <w:szCs w:val="18"/>
        </w:rPr>
        <w:t>C2稳健</w:t>
      </w:r>
      <w:proofErr w:type="gramStart"/>
      <w:r w:rsidRPr="00E27F99">
        <w:rPr>
          <w:rFonts w:ascii="黑体" w:eastAsia="黑体" w:hAnsi="黑体" w:cs="宋体" w:hint="eastAsia"/>
          <w:snapToGrid w:val="0"/>
          <w:kern w:val="0"/>
          <w:sz w:val="18"/>
          <w:szCs w:val="18"/>
        </w:rPr>
        <w:t>型客户</w:t>
      </w:r>
      <w:proofErr w:type="gramEnd"/>
      <w:r w:rsidRPr="00E27F99">
        <w:rPr>
          <w:rFonts w:ascii="黑体" w:eastAsia="黑体" w:hAnsi="黑体" w:cs="宋体" w:hint="eastAsia"/>
          <w:kern w:val="0"/>
          <w:sz w:val="18"/>
          <w:szCs w:val="18"/>
        </w:rPr>
        <w:t>愿意承担一定的本金风险，使投资回报高于银行存款</w:t>
      </w:r>
      <w:r w:rsidRPr="00E27F99">
        <w:rPr>
          <w:rFonts w:ascii="黑体" w:eastAsia="黑体" w:hAnsi="黑体" w:cs="宋体" w:hint="eastAsia"/>
          <w:snapToGrid w:val="0"/>
          <w:kern w:val="0"/>
          <w:sz w:val="18"/>
          <w:szCs w:val="18"/>
        </w:rPr>
        <w:t>。该类客户可以购买风险评级小于或等于</w:t>
      </w:r>
      <w:r w:rsidRPr="00E27F99">
        <w:rPr>
          <w:rFonts w:ascii="黑体" w:eastAsia="黑体" w:hAnsi="黑体" w:cs="宋体" w:hint="eastAsia"/>
          <w:kern w:val="0"/>
          <w:sz w:val="18"/>
          <w:szCs w:val="18"/>
        </w:rPr>
        <w:t>稳健型</w:t>
      </w:r>
      <w:r w:rsidRPr="00E27F99">
        <w:rPr>
          <w:rFonts w:ascii="黑体" w:eastAsia="黑体" w:hAnsi="黑体" w:cs="宋体" w:hint="eastAsia"/>
          <w:snapToGrid w:val="0"/>
          <w:kern w:val="0"/>
          <w:sz w:val="18"/>
          <w:szCs w:val="18"/>
        </w:rPr>
        <w:t>（R2）的理财产品。</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napToGrid w:val="0"/>
          <w:kern w:val="0"/>
          <w:sz w:val="18"/>
          <w:szCs w:val="18"/>
        </w:rPr>
      </w:pPr>
      <w:r w:rsidRPr="00E27F99">
        <w:rPr>
          <w:rFonts w:ascii="黑体" w:eastAsia="黑体" w:hAnsi="黑体" w:cs="宋体" w:hint="eastAsia"/>
          <w:snapToGrid w:val="0"/>
          <w:kern w:val="0"/>
          <w:sz w:val="18"/>
          <w:szCs w:val="18"/>
        </w:rPr>
        <w:t>C3平衡</w:t>
      </w:r>
      <w:proofErr w:type="gramStart"/>
      <w:r w:rsidRPr="00E27F99">
        <w:rPr>
          <w:rFonts w:ascii="黑体" w:eastAsia="黑体" w:hAnsi="黑体" w:cs="宋体" w:hint="eastAsia"/>
          <w:snapToGrid w:val="0"/>
          <w:kern w:val="0"/>
          <w:sz w:val="18"/>
          <w:szCs w:val="18"/>
        </w:rPr>
        <w:t>型客户</w:t>
      </w:r>
      <w:proofErr w:type="gramEnd"/>
      <w:r w:rsidRPr="00E27F99">
        <w:rPr>
          <w:rFonts w:ascii="黑体" w:eastAsia="黑体" w:hAnsi="黑体" w:cs="宋体" w:hint="eastAsia"/>
          <w:kern w:val="0"/>
          <w:sz w:val="18"/>
          <w:szCs w:val="18"/>
        </w:rPr>
        <w:t>愿意承担时常出现的短期亏损，使投资回报潜力远高于银行存款</w:t>
      </w:r>
      <w:r w:rsidRPr="00E27F99">
        <w:rPr>
          <w:rFonts w:ascii="黑体" w:eastAsia="黑体" w:hAnsi="黑体" w:cs="宋体" w:hint="eastAsia"/>
          <w:snapToGrid w:val="0"/>
          <w:kern w:val="0"/>
          <w:sz w:val="18"/>
          <w:szCs w:val="18"/>
        </w:rPr>
        <w:t>。该类客户可以购买风险评级小于或等于</w:t>
      </w:r>
      <w:r w:rsidRPr="00E27F99">
        <w:rPr>
          <w:rFonts w:ascii="黑体" w:eastAsia="黑体" w:hAnsi="黑体" w:cs="宋体" w:hint="eastAsia"/>
          <w:kern w:val="0"/>
          <w:sz w:val="18"/>
          <w:szCs w:val="18"/>
        </w:rPr>
        <w:t>平衡型</w:t>
      </w:r>
      <w:r w:rsidRPr="00E27F99">
        <w:rPr>
          <w:rFonts w:ascii="黑体" w:eastAsia="黑体" w:hAnsi="黑体" w:cs="宋体" w:hint="eastAsia"/>
          <w:snapToGrid w:val="0"/>
          <w:kern w:val="0"/>
          <w:sz w:val="18"/>
          <w:szCs w:val="18"/>
        </w:rPr>
        <w:t>（R3）的理财产品。</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napToGrid w:val="0"/>
          <w:kern w:val="0"/>
          <w:sz w:val="18"/>
          <w:szCs w:val="18"/>
        </w:rPr>
      </w:pPr>
      <w:r w:rsidRPr="00E27F99">
        <w:rPr>
          <w:rFonts w:ascii="黑体" w:eastAsia="黑体" w:hAnsi="黑体" w:cs="宋体" w:hint="eastAsia"/>
          <w:snapToGrid w:val="0"/>
          <w:kern w:val="0"/>
          <w:sz w:val="18"/>
          <w:szCs w:val="18"/>
        </w:rPr>
        <w:t>C4</w:t>
      </w:r>
      <w:r w:rsidRPr="00E27F99">
        <w:rPr>
          <w:rFonts w:ascii="黑体" w:eastAsia="黑体" w:hAnsi="黑体" w:cs="宋体" w:hint="eastAsia"/>
          <w:kern w:val="0"/>
          <w:sz w:val="18"/>
          <w:szCs w:val="18"/>
        </w:rPr>
        <w:t>进取</w:t>
      </w:r>
      <w:proofErr w:type="gramStart"/>
      <w:r w:rsidRPr="00E27F99">
        <w:rPr>
          <w:rFonts w:ascii="黑体" w:eastAsia="黑体" w:hAnsi="黑体" w:cs="宋体" w:hint="eastAsia"/>
          <w:kern w:val="0"/>
          <w:sz w:val="18"/>
          <w:szCs w:val="18"/>
        </w:rPr>
        <w:t>型</w:t>
      </w:r>
      <w:r w:rsidRPr="00E27F99">
        <w:rPr>
          <w:rFonts w:ascii="黑体" w:eastAsia="黑体" w:hAnsi="黑体" w:cs="宋体" w:hint="eastAsia"/>
          <w:snapToGrid w:val="0"/>
          <w:kern w:val="0"/>
          <w:sz w:val="18"/>
          <w:szCs w:val="18"/>
        </w:rPr>
        <w:t>客户</w:t>
      </w:r>
      <w:proofErr w:type="gramEnd"/>
      <w:r w:rsidRPr="00E27F99">
        <w:rPr>
          <w:rFonts w:ascii="黑体" w:eastAsia="黑体" w:hAnsi="黑体" w:cs="宋体" w:hint="eastAsia"/>
          <w:kern w:val="0"/>
          <w:sz w:val="18"/>
          <w:szCs w:val="18"/>
        </w:rPr>
        <w:t>愿意接受一定的重大亏损，以获得5年以内投资期的较高投资回报</w:t>
      </w:r>
      <w:r w:rsidRPr="00E27F99">
        <w:rPr>
          <w:rFonts w:ascii="黑体" w:eastAsia="黑体" w:hAnsi="黑体" w:cs="宋体" w:hint="eastAsia"/>
          <w:snapToGrid w:val="0"/>
          <w:kern w:val="0"/>
          <w:sz w:val="18"/>
          <w:szCs w:val="18"/>
        </w:rPr>
        <w:t>。该类客户可以购买风险评级小于或等于</w:t>
      </w:r>
      <w:r w:rsidRPr="00E27F99">
        <w:rPr>
          <w:rFonts w:ascii="黑体" w:eastAsia="黑体" w:hAnsi="黑体" w:cs="宋体" w:hint="eastAsia"/>
          <w:kern w:val="0"/>
          <w:sz w:val="18"/>
          <w:szCs w:val="18"/>
        </w:rPr>
        <w:t>进取型</w:t>
      </w:r>
      <w:r w:rsidRPr="00E27F99">
        <w:rPr>
          <w:rFonts w:ascii="黑体" w:eastAsia="黑体" w:hAnsi="黑体" w:cs="宋体" w:hint="eastAsia"/>
          <w:snapToGrid w:val="0"/>
          <w:kern w:val="0"/>
          <w:sz w:val="18"/>
          <w:szCs w:val="18"/>
        </w:rPr>
        <w:t>（R4）的理财产品。</w:t>
      </w:r>
    </w:p>
    <w:p w:rsidR="00D87739" w:rsidRDefault="00D937B3">
      <w:pPr>
        <w:tabs>
          <w:tab w:val="left" w:pos="1702"/>
        </w:tabs>
        <w:spacing w:line="260" w:lineRule="exact"/>
        <w:ind w:leftChars="-200" w:left="-420" w:rightChars="-91" w:right="-191" w:firstLineChars="200" w:firstLine="360"/>
        <w:rPr>
          <w:rFonts w:ascii="黑体" w:eastAsia="黑体" w:hAnsi="黑体" w:cs="宋体"/>
          <w:snapToGrid w:val="0"/>
          <w:kern w:val="0"/>
          <w:sz w:val="18"/>
          <w:szCs w:val="18"/>
        </w:rPr>
      </w:pPr>
      <w:r w:rsidRPr="00E27F99">
        <w:rPr>
          <w:rFonts w:ascii="黑体" w:eastAsia="黑体" w:hAnsi="黑体" w:cs="宋体" w:hint="eastAsia"/>
          <w:snapToGrid w:val="0"/>
          <w:kern w:val="0"/>
          <w:sz w:val="18"/>
          <w:szCs w:val="18"/>
        </w:rPr>
        <w:t>C5</w:t>
      </w:r>
      <w:r w:rsidRPr="00E27F99">
        <w:rPr>
          <w:rFonts w:ascii="黑体" w:eastAsia="黑体" w:hAnsi="黑体" w:cs="宋体" w:hint="eastAsia"/>
          <w:kern w:val="0"/>
          <w:sz w:val="18"/>
          <w:szCs w:val="18"/>
        </w:rPr>
        <w:t>投机</w:t>
      </w:r>
      <w:proofErr w:type="gramStart"/>
      <w:r w:rsidRPr="00E27F99">
        <w:rPr>
          <w:rFonts w:ascii="黑体" w:eastAsia="黑体" w:hAnsi="黑体" w:cs="宋体" w:hint="eastAsia"/>
          <w:kern w:val="0"/>
          <w:sz w:val="18"/>
          <w:szCs w:val="18"/>
        </w:rPr>
        <w:t>型</w:t>
      </w:r>
      <w:r w:rsidRPr="00E27F99">
        <w:rPr>
          <w:rFonts w:ascii="黑体" w:eastAsia="黑体" w:hAnsi="黑体" w:cs="宋体" w:hint="eastAsia"/>
          <w:snapToGrid w:val="0"/>
          <w:kern w:val="0"/>
          <w:sz w:val="18"/>
          <w:szCs w:val="18"/>
        </w:rPr>
        <w:t>客户</w:t>
      </w:r>
      <w:proofErr w:type="gramEnd"/>
      <w:r w:rsidRPr="00E27F99">
        <w:rPr>
          <w:rFonts w:ascii="黑体" w:eastAsia="黑体" w:hAnsi="黑体" w:cs="宋体" w:hint="eastAsia"/>
          <w:kern w:val="0"/>
          <w:sz w:val="18"/>
          <w:szCs w:val="18"/>
        </w:rPr>
        <w:t>愿意接受时常出现的重大亏损，以获得5年或以上投资期的重大投资回报</w:t>
      </w:r>
      <w:r w:rsidRPr="00E27F99">
        <w:rPr>
          <w:rFonts w:ascii="黑体" w:eastAsia="黑体" w:hAnsi="黑体" w:cs="宋体" w:hint="eastAsia"/>
          <w:snapToGrid w:val="0"/>
          <w:kern w:val="0"/>
          <w:sz w:val="18"/>
          <w:szCs w:val="18"/>
        </w:rPr>
        <w:t>。该类客户可以购买风险评级小于或等于</w:t>
      </w:r>
      <w:r w:rsidRPr="00E27F99">
        <w:rPr>
          <w:rFonts w:ascii="黑体" w:eastAsia="黑体" w:hAnsi="黑体" w:cs="宋体" w:hint="eastAsia"/>
          <w:kern w:val="0"/>
          <w:sz w:val="18"/>
          <w:szCs w:val="18"/>
        </w:rPr>
        <w:t>投机型</w:t>
      </w:r>
      <w:r w:rsidRPr="00E27F99">
        <w:rPr>
          <w:rFonts w:ascii="黑体" w:eastAsia="黑体" w:hAnsi="黑体" w:cs="宋体" w:hint="eastAsia"/>
          <w:snapToGrid w:val="0"/>
          <w:kern w:val="0"/>
          <w:sz w:val="18"/>
          <w:szCs w:val="18"/>
        </w:rPr>
        <w:t>（R5）的理财产品。</w:t>
      </w:r>
    </w:p>
    <w:p w:rsidR="00D87739" w:rsidRPr="00E27F99" w:rsidRDefault="00D937B3">
      <w:pPr>
        <w:tabs>
          <w:tab w:val="left" w:pos="1702"/>
        </w:tabs>
        <w:spacing w:line="260" w:lineRule="exact"/>
        <w:ind w:leftChars="-200" w:left="-420" w:rightChars="-91" w:right="-191" w:firstLineChars="200" w:firstLine="361"/>
        <w:rPr>
          <w:rFonts w:ascii="黑体" w:eastAsia="黑体" w:hAnsi="黑体" w:cs="宋体"/>
          <w:b/>
          <w:sz w:val="18"/>
          <w:szCs w:val="18"/>
        </w:rPr>
      </w:pPr>
      <w:r w:rsidRPr="00E27F99">
        <w:rPr>
          <w:rFonts w:ascii="黑体" w:eastAsia="黑体" w:hAnsi="黑体" w:cs="宋体" w:hint="eastAsia"/>
          <w:b/>
          <w:sz w:val="18"/>
          <w:szCs w:val="18"/>
        </w:rPr>
        <w:t>三．向客户进行信息披露的方式、渠道和频率等；</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kern w:val="0"/>
          <w:sz w:val="18"/>
          <w:szCs w:val="18"/>
        </w:rPr>
      </w:pPr>
      <w:r w:rsidRPr="00E27F99">
        <w:rPr>
          <w:rFonts w:ascii="黑体" w:eastAsia="黑体" w:hAnsi="黑体" w:cs="宋体" w:hint="eastAsia"/>
          <w:kern w:val="0"/>
          <w:sz w:val="18"/>
          <w:szCs w:val="18"/>
        </w:rPr>
        <w:t>我行将在理财产品成立之后5日内披露发行公告；在理财产品终止后5日内披露到期公告；在发生可能对理财产品投资者或者理财产品收益产生重大影响的事件后2日内发布重大事项公告；每一季度前15日内、上半年结束之日起60日内、每年结束之日起90日内发布上一季度的产品季度报告、理财产品的半年、年度报告，其他应当披露的事项将依据法律法规和中国银行保险监督管理委员会的有关规定及时进行在我行网站（www.foshanbank.cn）和各网点发布相关信息公告。</w:t>
      </w:r>
    </w:p>
    <w:p w:rsidR="00D87739" w:rsidRPr="00E27F99" w:rsidRDefault="00D937B3">
      <w:pPr>
        <w:tabs>
          <w:tab w:val="left" w:pos="1702"/>
        </w:tabs>
        <w:spacing w:line="260" w:lineRule="exact"/>
        <w:ind w:leftChars="-200" w:left="-420" w:rightChars="-91" w:right="-191" w:firstLineChars="200" w:firstLine="361"/>
        <w:rPr>
          <w:rFonts w:ascii="黑体" w:eastAsia="黑体" w:hAnsi="黑体" w:cs="宋体"/>
          <w:b/>
          <w:sz w:val="18"/>
          <w:szCs w:val="18"/>
        </w:rPr>
      </w:pPr>
      <w:r w:rsidRPr="00E27F99">
        <w:rPr>
          <w:rFonts w:ascii="黑体" w:eastAsia="黑体" w:hAnsi="黑体" w:cs="宋体" w:hint="eastAsia"/>
          <w:b/>
          <w:sz w:val="18"/>
          <w:szCs w:val="18"/>
        </w:rPr>
        <w:t>四、客户向我行投诉的方式和程序；</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（一）客户可致电96138客户服务热线咨询或反馈意见。</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（二）客户可通过信件的方式反馈意见。</w:t>
      </w:r>
    </w:p>
    <w:p w:rsidR="00D87739" w:rsidRPr="00E27F99" w:rsidRDefault="00D937B3">
      <w:pPr>
        <w:tabs>
          <w:tab w:val="left" w:pos="1702"/>
        </w:tabs>
        <w:spacing w:line="260" w:lineRule="exact"/>
        <w:ind w:leftChars="-200" w:left="-420" w:rightChars="-91" w:right="-191" w:firstLineChars="500" w:firstLine="900"/>
        <w:rPr>
          <w:rFonts w:ascii="黑体" w:eastAsia="黑体" w:hAnsi="黑体" w:cs="宋体"/>
          <w:sz w:val="18"/>
          <w:szCs w:val="18"/>
        </w:rPr>
      </w:pPr>
      <w:r w:rsidRPr="00E27F99">
        <w:rPr>
          <w:rFonts w:ascii="黑体" w:eastAsia="黑体" w:hAnsi="黑体" w:cs="宋体" w:hint="eastAsia"/>
          <w:sz w:val="18"/>
          <w:szCs w:val="18"/>
        </w:rPr>
        <w:t>联系地址：</w:t>
      </w:r>
      <w:proofErr w:type="gramStart"/>
      <w:r w:rsidRPr="00E27F99">
        <w:rPr>
          <w:rFonts w:ascii="黑体" w:eastAsia="黑体" w:hAnsi="黑体" w:cs="宋体" w:hint="eastAsia"/>
          <w:sz w:val="18"/>
          <w:szCs w:val="18"/>
        </w:rPr>
        <w:t>佛山市禅城区</w:t>
      </w:r>
      <w:proofErr w:type="gramEnd"/>
      <w:r w:rsidRPr="00E27F99">
        <w:rPr>
          <w:rFonts w:ascii="黑体" w:eastAsia="黑体" w:hAnsi="黑体" w:cs="宋体" w:hint="eastAsia"/>
          <w:sz w:val="18"/>
          <w:szCs w:val="18"/>
        </w:rPr>
        <w:t>华远东路5号佛山农村商业银行股份有限公司零售银行部; 邮编：528000</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（三）网站留言投诉,客户可以通过我社网站首页“帮助中心”→“在线反馈”处反馈意见。</w:t>
      </w:r>
    </w:p>
    <w:p w:rsidR="00D87739" w:rsidRPr="00E27F99" w:rsidRDefault="00D937B3">
      <w:pPr>
        <w:tabs>
          <w:tab w:val="left" w:pos="1702"/>
        </w:tabs>
        <w:spacing w:line="260" w:lineRule="exact"/>
        <w:ind w:leftChars="-200" w:left="-420" w:rightChars="-91" w:right="-191" w:firstLineChars="500" w:firstLine="900"/>
        <w:rPr>
          <w:rFonts w:ascii="黑体" w:eastAsia="黑体" w:hAnsi="黑体" w:cs="宋体"/>
          <w:sz w:val="18"/>
          <w:szCs w:val="18"/>
        </w:rPr>
      </w:pPr>
      <w:r w:rsidRPr="00E27F99">
        <w:rPr>
          <w:rFonts w:ascii="黑体" w:eastAsia="黑体" w:hAnsi="黑体" w:cs="宋体" w:hint="eastAsia"/>
          <w:sz w:val="18"/>
          <w:szCs w:val="18"/>
        </w:rPr>
        <w:t xml:space="preserve">网站地址: </w:t>
      </w:r>
      <w:r w:rsidRPr="00E27F99">
        <w:rPr>
          <w:rFonts w:ascii="黑体" w:eastAsia="黑体" w:hAnsi="黑体" w:cs="宋体" w:hint="eastAsia"/>
          <w:snapToGrid w:val="0"/>
          <w:kern w:val="0"/>
          <w:sz w:val="18"/>
          <w:szCs w:val="18"/>
        </w:rPr>
        <w:t>www.foshanbank.cn</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（四）现场投诉，客户可到我行各营业网点现场反馈意见。</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（五）我</w:t>
      </w:r>
      <w:proofErr w:type="gramStart"/>
      <w:r w:rsidRPr="00E27F99">
        <w:rPr>
          <w:rFonts w:ascii="黑体" w:eastAsia="黑体" w:hAnsi="黑体" w:cs="宋体" w:hint="eastAsia"/>
          <w:sz w:val="18"/>
          <w:szCs w:val="18"/>
        </w:rPr>
        <w:t>行接到</w:t>
      </w:r>
      <w:proofErr w:type="gramEnd"/>
      <w:r w:rsidRPr="00E27F99">
        <w:rPr>
          <w:rFonts w:ascii="黑体" w:eastAsia="黑体" w:hAnsi="黑体" w:cs="宋体" w:hint="eastAsia"/>
          <w:sz w:val="18"/>
          <w:szCs w:val="18"/>
        </w:rPr>
        <w:t>投诉之后，迅速展开调查，并最迟在3个工作日内将调查结果反馈给客户。</w:t>
      </w:r>
    </w:p>
    <w:p w:rsidR="00D87739" w:rsidRPr="00E27F99" w:rsidRDefault="00D937B3">
      <w:pPr>
        <w:tabs>
          <w:tab w:val="left" w:pos="1702"/>
        </w:tabs>
        <w:spacing w:line="260" w:lineRule="exact"/>
        <w:ind w:leftChars="-200" w:left="-420" w:rightChars="-91" w:right="-191" w:firstLineChars="200" w:firstLine="361"/>
        <w:rPr>
          <w:rFonts w:ascii="黑体" w:eastAsia="黑体" w:hAnsi="黑体" w:cs="宋体"/>
          <w:b/>
          <w:sz w:val="18"/>
          <w:szCs w:val="18"/>
        </w:rPr>
      </w:pPr>
      <w:r w:rsidRPr="00E27F99">
        <w:rPr>
          <w:rFonts w:ascii="黑体" w:eastAsia="黑体" w:hAnsi="黑体" w:cs="宋体" w:hint="eastAsia"/>
          <w:b/>
          <w:sz w:val="18"/>
          <w:szCs w:val="18"/>
        </w:rPr>
        <w:t>五、我行联络方式及其他需要向客户说明的内容</w:t>
      </w:r>
    </w:p>
    <w:p w:rsidR="00D87739" w:rsidRPr="00E27F99" w:rsidRDefault="00D937B3">
      <w:pPr>
        <w:tabs>
          <w:tab w:val="left" w:pos="1702"/>
        </w:tabs>
        <w:spacing w:line="260" w:lineRule="exact"/>
        <w:ind w:leftChars="-200" w:left="-420" w:rightChars="-91" w:right="-191" w:firstLineChars="200" w:firstLine="360"/>
        <w:rPr>
          <w:rFonts w:ascii="黑体" w:eastAsia="黑体" w:hAnsi="黑体" w:cs="宋体"/>
          <w:sz w:val="18"/>
          <w:szCs w:val="18"/>
        </w:rPr>
      </w:pPr>
      <w:r w:rsidRPr="00E27F99">
        <w:rPr>
          <w:rFonts w:ascii="黑体" w:eastAsia="黑体" w:hAnsi="黑体" w:cs="宋体" w:hint="eastAsia"/>
          <w:sz w:val="18"/>
          <w:szCs w:val="18"/>
        </w:rPr>
        <w:t>客户如有疑问可致电客户服务热线96138详</w:t>
      </w:r>
      <w:proofErr w:type="gramStart"/>
      <w:r w:rsidRPr="00E27F99">
        <w:rPr>
          <w:rFonts w:ascii="黑体" w:eastAsia="黑体" w:hAnsi="黑体" w:cs="宋体" w:hint="eastAsia"/>
          <w:sz w:val="18"/>
          <w:szCs w:val="18"/>
        </w:rPr>
        <w:t>询</w:t>
      </w:r>
      <w:proofErr w:type="gramEnd"/>
      <w:r w:rsidRPr="00E27F99">
        <w:rPr>
          <w:rFonts w:ascii="黑体" w:eastAsia="黑体" w:hAnsi="黑体" w:cs="宋体" w:hint="eastAsia"/>
          <w:sz w:val="18"/>
          <w:szCs w:val="18"/>
        </w:rPr>
        <w:t>。</w:t>
      </w:r>
    </w:p>
    <w:p w:rsidR="00D87739" w:rsidRPr="00E27F99" w:rsidRDefault="00D87739">
      <w:pPr>
        <w:tabs>
          <w:tab w:val="left" w:pos="1702"/>
        </w:tabs>
        <w:spacing w:line="260" w:lineRule="exact"/>
        <w:ind w:leftChars="-200" w:left="-420" w:rightChars="-91" w:right="-191" w:firstLineChars="200" w:firstLine="360"/>
        <w:rPr>
          <w:rFonts w:ascii="黑体" w:eastAsia="黑体" w:hAnsi="黑体" w:cs="宋体"/>
          <w:sz w:val="18"/>
          <w:szCs w:val="18"/>
        </w:rPr>
      </w:pPr>
    </w:p>
    <w:p w:rsidR="00D87739" w:rsidRPr="00D30090" w:rsidRDefault="00D87739">
      <w:pPr>
        <w:tabs>
          <w:tab w:val="left" w:pos="6874"/>
        </w:tabs>
        <w:rPr>
          <w:rFonts w:ascii="黑体" w:eastAsia="黑体" w:hAnsi="黑体" w:cs="宋体"/>
        </w:rPr>
      </w:pPr>
      <w:bookmarkStart w:id="0" w:name="_GoBack"/>
      <w:bookmarkEnd w:id="0"/>
    </w:p>
    <w:sectPr w:rsidR="00D87739" w:rsidRPr="00D30090">
      <w:headerReference w:type="default" r:id="rId9"/>
      <w:footerReference w:type="default" r:id="rId10"/>
      <w:pgSz w:w="11906" w:h="16838"/>
      <w:pgMar w:top="1440" w:right="1797" w:bottom="1440" w:left="179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76" w:rsidRDefault="00774876">
      <w:r>
        <w:separator/>
      </w:r>
    </w:p>
  </w:endnote>
  <w:endnote w:type="continuationSeparator" w:id="0">
    <w:p w:rsidR="00774876" w:rsidRDefault="007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739" w:rsidRDefault="00D937B3">
    <w:pPr>
      <w:pStyle w:val="a3"/>
      <w:rPr>
        <w:rFonts w:eastAsia="宋体"/>
      </w:rPr>
    </w:pPr>
    <w:r>
      <w:rPr>
        <w:rFonts w:eastAsia="宋体" w:hint="eastAsia"/>
        <w:noProof/>
      </w:rPr>
      <w:drawing>
        <wp:anchor distT="0" distB="0" distL="114300" distR="114300" simplePos="0" relativeHeight="251663360" behindDoc="1" locked="0" layoutInCell="1" allowOverlap="1">
          <wp:simplePos x="0" y="0"/>
          <wp:positionH relativeFrom="column">
            <wp:posOffset>2985770</wp:posOffset>
          </wp:positionH>
          <wp:positionV relativeFrom="paragraph">
            <wp:posOffset>-60325</wp:posOffset>
          </wp:positionV>
          <wp:extent cx="2200275" cy="276225"/>
          <wp:effectExtent l="0" t="0" r="9525" b="9525"/>
          <wp:wrapNone/>
          <wp:docPr id="2" name="图片 2" descr="9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138"/>
                  <pic:cNvPicPr>
                    <a:picLocks noChangeAspect="1"/>
                  </pic:cNvPicPr>
                </pic:nvPicPr>
                <pic:blipFill>
                  <a:blip r:embed="rId1"/>
                  <a:srcRect/>
                  <a:stretch>
                    <a:fillRect/>
                  </a:stretch>
                </pic:blipFill>
                <pic:spPr>
                  <a:xfrm>
                    <a:off x="0" y="0"/>
                    <a:ext cx="2200275" cy="276225"/>
                  </a:xfrm>
                  <a:prstGeom prst="rect">
                    <a:avLst/>
                  </a:prstGeom>
                </pic:spPr>
              </pic:pic>
            </a:graphicData>
          </a:graphic>
        </wp:anchor>
      </w:drawing>
    </w:r>
    <w:r>
      <w:rPr>
        <w:rFonts w:eastAsia="宋体" w:hint="eastAsia"/>
        <w:noProof/>
      </w:rPr>
      <w:drawing>
        <wp:anchor distT="0" distB="0" distL="114300" distR="114300" simplePos="0" relativeHeight="251662336" behindDoc="1" locked="0" layoutInCell="1" allowOverlap="1">
          <wp:simplePos x="0" y="0"/>
          <wp:positionH relativeFrom="column">
            <wp:posOffset>23495</wp:posOffset>
          </wp:positionH>
          <wp:positionV relativeFrom="paragraph">
            <wp:posOffset>-92710</wp:posOffset>
          </wp:positionV>
          <wp:extent cx="1209675" cy="371475"/>
          <wp:effectExtent l="0" t="0" r="9525" b="9525"/>
          <wp:wrapNone/>
          <wp:docPr id="1" name="图片 1" descr="便捷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便捷服务"/>
                  <pic:cNvPicPr>
                    <a:picLocks noChangeAspect="1"/>
                  </pic:cNvPicPr>
                </pic:nvPicPr>
                <pic:blipFill>
                  <a:blip r:embed="rId2"/>
                  <a:srcRect/>
                  <a:stretch>
                    <a:fillRect/>
                  </a:stretch>
                </pic:blipFill>
                <pic:spPr>
                  <a:xfrm>
                    <a:off x="0" y="0"/>
                    <a:ext cx="1209675" cy="371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76" w:rsidRDefault="00774876">
      <w:r>
        <w:separator/>
      </w:r>
    </w:p>
  </w:footnote>
  <w:footnote w:type="continuationSeparator" w:id="0">
    <w:p w:rsidR="00774876" w:rsidRDefault="0077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739" w:rsidRDefault="00D937B3">
    <w:pPr>
      <w:pStyle w:val="a5"/>
      <w:pBdr>
        <w:bottom w:val="none" w:sz="0" w:space="1" w:color="auto"/>
      </w:pBdr>
    </w:pPr>
    <w:r>
      <w:rPr>
        <w:noProof/>
      </w:rPr>
      <w:drawing>
        <wp:anchor distT="0" distB="0" distL="114300" distR="114300" simplePos="0" relativeHeight="251661312" behindDoc="1" locked="0" layoutInCell="0" allowOverlap="1">
          <wp:simplePos x="0" y="0"/>
          <wp:positionH relativeFrom="margin">
            <wp:posOffset>3049905</wp:posOffset>
          </wp:positionH>
          <wp:positionV relativeFrom="margin">
            <wp:posOffset>-699135</wp:posOffset>
          </wp:positionV>
          <wp:extent cx="2134235" cy="651510"/>
          <wp:effectExtent l="0" t="0" r="0" b="0"/>
          <wp:wrapNone/>
          <wp:docPr id="16" name="图片 16" descr="D:\桌面文件\首页（新）.jpg首页（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文件\首页（新）.jpg首页（新）"/>
                  <pic:cNvPicPr>
                    <a:picLocks noChangeAspect="1" noChangeArrowheads="1"/>
                  </pic:cNvPicPr>
                </pic:nvPicPr>
                <pic:blipFill>
                  <a:blip r:embed="rId1">
                    <a:extLst>
                      <a:ext uri="{28A0092B-C50C-407E-A947-70E740481C1C}">
                        <a14:useLocalDpi xmlns:a14="http://schemas.microsoft.com/office/drawing/2010/main" val="0"/>
                      </a:ext>
                    </a:extLst>
                  </a:blip>
                  <a:srcRect l="59456" t="6274" r="31" b="84540"/>
                  <a:stretch>
                    <a:fillRect/>
                  </a:stretch>
                </pic:blipFill>
                <pic:spPr>
                  <a:xfrm>
                    <a:off x="0" y="0"/>
                    <a:ext cx="2134539" cy="651460"/>
                  </a:xfrm>
                  <a:prstGeom prst="rect">
                    <a:avLst/>
                  </a:prstGeom>
                  <a:noFill/>
                  <a:ln>
                    <a:noFill/>
                  </a:ln>
                  <a:effectLst/>
                </pic:spPr>
              </pic:pic>
            </a:graphicData>
          </a:graphic>
        </wp:anchor>
      </w:drawing>
    </w:r>
    <w:r>
      <w:rPr>
        <w:noProof/>
      </w:rPr>
      <w:drawing>
        <wp:anchor distT="0" distB="0" distL="114300" distR="114300" simplePos="0" relativeHeight="251659264" behindDoc="1" locked="0" layoutInCell="0" allowOverlap="1">
          <wp:simplePos x="0" y="0"/>
          <wp:positionH relativeFrom="margin">
            <wp:posOffset>-75565</wp:posOffset>
          </wp:positionH>
          <wp:positionV relativeFrom="margin">
            <wp:posOffset>-683260</wp:posOffset>
          </wp:positionV>
          <wp:extent cx="2296160" cy="501015"/>
          <wp:effectExtent l="0" t="0" r="0" b="0"/>
          <wp:wrapNone/>
          <wp:docPr id="15" name="图片 15" descr="D:\桌面文件\首页（新）.jpg首页（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桌面文件\首页（新）.jpg首页（新）"/>
                  <pic:cNvPicPr>
                    <a:picLocks noChangeAspect="1" noChangeArrowheads="1"/>
                  </pic:cNvPicPr>
                </pic:nvPicPr>
                <pic:blipFill>
                  <a:blip r:embed="rId1">
                    <a:extLst>
                      <a:ext uri="{28A0092B-C50C-407E-A947-70E740481C1C}">
                        <a14:useLocalDpi xmlns:a14="http://schemas.microsoft.com/office/drawing/2010/main" val="0"/>
                      </a:ext>
                    </a:extLst>
                  </a:blip>
                  <a:srcRect l="2716" t="5488" r="53669" b="87442"/>
                  <a:stretch>
                    <a:fillRect/>
                  </a:stretch>
                </pic:blipFill>
                <pic:spPr>
                  <a:xfrm>
                    <a:off x="0" y="0"/>
                    <a:ext cx="2297927" cy="501382"/>
                  </a:xfrm>
                  <a:prstGeom prst="rect">
                    <a:avLst/>
                  </a:prstGeom>
                  <a:noFill/>
                  <a:ln>
                    <a:noFill/>
                  </a:ln>
                  <a:effectLst/>
                </pic:spPr>
              </pic:pic>
            </a:graphicData>
          </a:graphic>
        </wp:anchor>
      </w:drawing>
    </w:r>
  </w:p>
  <w:p w:rsidR="00D87739" w:rsidRDefault="00D937B3">
    <w:pPr>
      <w:pStyle w:val="a5"/>
      <w:pBdr>
        <w:bottom w:val="none" w:sz="0" w:space="1" w:color="auto"/>
      </w:pBdr>
      <w:tabs>
        <w:tab w:val="clear" w:pos="8306"/>
        <w:tab w:val="left" w:pos="6624"/>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3D"/>
    <w:rsid w:val="00004783"/>
    <w:rsid w:val="00007D86"/>
    <w:rsid w:val="000302E1"/>
    <w:rsid w:val="00047A5D"/>
    <w:rsid w:val="000C01A6"/>
    <w:rsid w:val="000E7558"/>
    <w:rsid w:val="00137675"/>
    <w:rsid w:val="001A5BB3"/>
    <w:rsid w:val="001B79A9"/>
    <w:rsid w:val="00292CF1"/>
    <w:rsid w:val="002B33BA"/>
    <w:rsid w:val="002D668A"/>
    <w:rsid w:val="0039737C"/>
    <w:rsid w:val="003C1150"/>
    <w:rsid w:val="00432C72"/>
    <w:rsid w:val="00440320"/>
    <w:rsid w:val="0044463D"/>
    <w:rsid w:val="0050673A"/>
    <w:rsid w:val="00527367"/>
    <w:rsid w:val="005436F1"/>
    <w:rsid w:val="005B276F"/>
    <w:rsid w:val="005C0C77"/>
    <w:rsid w:val="00600CD5"/>
    <w:rsid w:val="006665E6"/>
    <w:rsid w:val="00671439"/>
    <w:rsid w:val="006746E2"/>
    <w:rsid w:val="0068099F"/>
    <w:rsid w:val="006B115A"/>
    <w:rsid w:val="006C2BC4"/>
    <w:rsid w:val="006D35EE"/>
    <w:rsid w:val="00727A9F"/>
    <w:rsid w:val="00753E68"/>
    <w:rsid w:val="00774876"/>
    <w:rsid w:val="00795CAE"/>
    <w:rsid w:val="007C790C"/>
    <w:rsid w:val="007D058C"/>
    <w:rsid w:val="008824B0"/>
    <w:rsid w:val="00891745"/>
    <w:rsid w:val="008D1454"/>
    <w:rsid w:val="00905158"/>
    <w:rsid w:val="00911170"/>
    <w:rsid w:val="00930DDC"/>
    <w:rsid w:val="00943702"/>
    <w:rsid w:val="00975BD5"/>
    <w:rsid w:val="00981470"/>
    <w:rsid w:val="009B051E"/>
    <w:rsid w:val="009F4F48"/>
    <w:rsid w:val="00A0655F"/>
    <w:rsid w:val="00A17334"/>
    <w:rsid w:val="00A9073E"/>
    <w:rsid w:val="00B40172"/>
    <w:rsid w:val="00B41C1C"/>
    <w:rsid w:val="00BC326E"/>
    <w:rsid w:val="00CB0B08"/>
    <w:rsid w:val="00D13CF7"/>
    <w:rsid w:val="00D30090"/>
    <w:rsid w:val="00D32CED"/>
    <w:rsid w:val="00D41870"/>
    <w:rsid w:val="00D43CC4"/>
    <w:rsid w:val="00D528A8"/>
    <w:rsid w:val="00D87739"/>
    <w:rsid w:val="00D937B3"/>
    <w:rsid w:val="00DC407A"/>
    <w:rsid w:val="00DF2082"/>
    <w:rsid w:val="00E27F99"/>
    <w:rsid w:val="00E42D06"/>
    <w:rsid w:val="00E6125F"/>
    <w:rsid w:val="00E95116"/>
    <w:rsid w:val="00EA1AFA"/>
    <w:rsid w:val="00EA5B08"/>
    <w:rsid w:val="00F7573B"/>
    <w:rsid w:val="00FE305D"/>
    <w:rsid w:val="00FF2337"/>
    <w:rsid w:val="11A557D9"/>
    <w:rsid w:val="47846141"/>
    <w:rsid w:val="523C1B52"/>
    <w:rsid w:val="54DD68AF"/>
    <w:rsid w:val="5695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66C0D-CFD0-448A-AF8F-9B1DB634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A3F96-2170-44C4-97E3-6A6DFECC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Simanmai</dc:creator>
  <cp:lastModifiedBy>魏惠妆</cp:lastModifiedBy>
  <cp:revision>5</cp:revision>
  <dcterms:created xsi:type="dcterms:W3CDTF">2019-01-18T09:59:00Z</dcterms:created>
  <dcterms:modified xsi:type="dcterms:W3CDTF">2021-01-12T01:54:00Z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