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C4" w:rsidRDefault="00FF3AC4" w:rsidP="00FF3AC4">
      <w:pPr>
        <w:jc w:val="center"/>
        <w:rPr>
          <w:rFonts w:ascii="微软雅黑" w:eastAsia="微软雅黑" w:hAnsi="微软雅黑" w:hint="eastAsia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</w:rPr>
        <w:t>2024年所获荣誉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2024年1月</w:t>
      </w:r>
      <w:r w:rsidRPr="00C86554">
        <w:rPr>
          <w:rFonts w:ascii="微软雅黑" w:eastAsia="微软雅黑" w:hAnsi="微软雅黑" w:hint="eastAsia"/>
          <w:sz w:val="24"/>
          <w:szCs w:val="24"/>
        </w:rPr>
        <w:t>，佛山农商银行获得</w:t>
      </w:r>
      <w:r w:rsidRPr="00C86554">
        <w:rPr>
          <w:rFonts w:ascii="微软雅黑" w:eastAsia="微软雅黑" w:hAnsi="微软雅黑" w:hint="eastAsia"/>
          <w:sz w:val="24"/>
          <w:szCs w:val="24"/>
        </w:rPr>
        <w:t>禅城区金融产业促进会</w:t>
      </w:r>
      <w:r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2023年度禅城区金融产业促进会突出贡献奖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2024年2月，佛山农商银行获得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人民政府颁发的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2023年度纳税突出贡献企业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2024年2月，佛山农商银行获得佛山市公安局、国家金融监督管理总局佛山监管分局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佛山市2022-2023年度银行业金融机构安全评估优秀单位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2024年2月，佛山农商银行获得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人民政府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2023年度纳税超3亿元企业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2024年3月，佛山农商银行获得国家金融监督管理总局广东监管局、南方都市报、N视频、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湾财社</w:t>
      </w:r>
      <w:proofErr w:type="gramEnd"/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广东银行业保险业2023年“最美金融消保人”风采展示活动最美风采奖银奖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2024年3月，佛山农商银行获得佛山高新区金融服务企业大赛组委会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2023年度佛山高新区金融服务企业大赛便捷融资奖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2024年4月，佛山农商银行获得佛山市市场监督管理局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2023年度推进知识产权质押融资工作先进单位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2024年5月，佛山农商银行获得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发展和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改革局</w:t>
      </w:r>
      <w:proofErr w:type="gramEnd"/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“以旧换新 惠民驿站”支持单位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2024年6月，佛山农商银行获得佛山市科技金融协会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积极支持科技创新奖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2024年6月，佛山农商银行获得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人民政府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AAAA级金融发展突出贡献团队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lastRenderedPageBreak/>
        <w:t>2024年6月，佛山农商银行获得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发展和改革局</w:t>
      </w:r>
      <w:r w:rsidR="00C86554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财政局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大规模设备更新和消费品以旧换新投融资顾问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2024年6月，佛山农商银行获得中共佛山市高明区委</w:t>
      </w:r>
      <w:r w:rsidR="00C86554">
        <w:rPr>
          <w:rFonts w:ascii="微软雅黑" w:eastAsia="微软雅黑" w:hAnsi="微软雅黑" w:hint="eastAsia"/>
          <w:sz w:val="24"/>
          <w:szCs w:val="24"/>
        </w:rPr>
        <w:t>、</w:t>
      </w:r>
      <w:r w:rsidRPr="00C86554">
        <w:rPr>
          <w:rFonts w:ascii="微软雅黑" w:eastAsia="微软雅黑" w:hAnsi="微软雅黑" w:hint="eastAsia"/>
          <w:sz w:val="24"/>
          <w:szCs w:val="24"/>
        </w:rPr>
        <w:t>佛山市高明区人民政府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社会力量助力“百千万工程”突出贡献企业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2024年6月，佛山农商银行获得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人民政府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2023年度金融发展创新团队（金融发展突出贡献团队）4A等级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2024年7月，佛山农商银行获得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爱国拥军促进会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双拥优秀单位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2024年7月，佛山农商银行获得国际权威财经媒体《银行家》（The Banker）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入选全球银行业前500强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2024年8月，佛山农商银行获得中国农村金融杂志社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农信机构百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佳特色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网点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2024年9月，佛山农商银行获得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人力资源和社会保障局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和谐劳动关系建设突出贡献企业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2024年9月，佛山农商银行获得禅城区人民政府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关心支持教育创新发展先进集体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2024年10月，佛山农商银行获得佛山市人民政府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佛山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市数智化金融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创新奖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2024年10月，佛山农商银行获得佛山市沧江教育基金会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造福社会立功德 捐助教育献爱心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E25D04" w:rsidRPr="00C86554" w:rsidRDefault="00E25D04" w:rsidP="00E25D04">
      <w:pPr>
        <w:rPr>
          <w:rFonts w:ascii="微软雅黑" w:eastAsia="微软雅黑" w:hAnsi="微软雅黑" w:hint="eastAsia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t>2024年10月，佛山农商银行获得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普益标准</w:t>
      </w:r>
      <w:proofErr w:type="gramEnd"/>
      <w:r w:rsidR="00C86554" w:rsidRPr="00C86554">
        <w:rPr>
          <w:rFonts w:ascii="微软雅黑" w:eastAsia="微软雅黑" w:hAnsi="微软雅黑" w:hint="eastAsia"/>
          <w:sz w:val="24"/>
          <w:szCs w:val="24"/>
        </w:rPr>
        <w:t>颁发的</w:t>
      </w:r>
      <w:r w:rsidRPr="00C86554">
        <w:rPr>
          <w:rFonts w:ascii="微软雅黑" w:eastAsia="微软雅黑" w:hAnsi="微软雅黑" w:hint="eastAsia"/>
          <w:sz w:val="24"/>
          <w:szCs w:val="24"/>
        </w:rPr>
        <w:t>2024年</w:t>
      </w:r>
      <w:proofErr w:type="gramStart"/>
      <w:r w:rsidRPr="00C86554">
        <w:rPr>
          <w:rFonts w:ascii="微软雅黑" w:eastAsia="微软雅黑" w:hAnsi="微软雅黑" w:hint="eastAsia"/>
          <w:sz w:val="24"/>
          <w:szCs w:val="24"/>
        </w:rPr>
        <w:t>中国资管行业</w:t>
      </w:r>
      <w:proofErr w:type="gramEnd"/>
      <w:r w:rsidRPr="00C86554">
        <w:rPr>
          <w:rFonts w:ascii="微软雅黑" w:eastAsia="微软雅黑" w:hAnsi="微软雅黑" w:hint="eastAsia"/>
          <w:sz w:val="24"/>
          <w:szCs w:val="24"/>
        </w:rPr>
        <w:t>“金誉奖”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p w:rsidR="008A0C8F" w:rsidRPr="00C86554" w:rsidRDefault="00E25D04" w:rsidP="00E25D04">
      <w:pPr>
        <w:rPr>
          <w:rFonts w:ascii="微软雅黑" w:eastAsia="微软雅黑" w:hAnsi="微软雅黑"/>
          <w:sz w:val="24"/>
          <w:szCs w:val="24"/>
        </w:rPr>
      </w:pPr>
      <w:r w:rsidRPr="00C86554">
        <w:rPr>
          <w:rFonts w:ascii="微软雅黑" w:eastAsia="微软雅黑" w:hAnsi="微软雅黑" w:hint="eastAsia"/>
          <w:sz w:val="24"/>
          <w:szCs w:val="24"/>
        </w:rPr>
        <w:lastRenderedPageBreak/>
        <w:t>2024年12月</w:t>
      </w:r>
      <w:r w:rsidR="00C86554">
        <w:rPr>
          <w:rFonts w:ascii="微软雅黑" w:eastAsia="微软雅黑" w:hAnsi="微软雅黑" w:hint="eastAsia"/>
          <w:sz w:val="24"/>
          <w:szCs w:val="24"/>
        </w:rPr>
        <w:t>，</w:t>
      </w:r>
      <w:r w:rsidRPr="00C86554">
        <w:rPr>
          <w:rFonts w:ascii="微软雅黑" w:eastAsia="微软雅黑" w:hAnsi="微软雅黑" w:hint="eastAsia"/>
          <w:sz w:val="24"/>
          <w:szCs w:val="24"/>
        </w:rPr>
        <w:t>佛山农商银行入选2024佛山金融口碑榜，荣获</w:t>
      </w:r>
      <w:r w:rsidR="00C86554" w:rsidRPr="00C86554">
        <w:rPr>
          <w:rFonts w:ascii="微软雅黑" w:eastAsia="微软雅黑" w:hAnsi="微软雅黑" w:hint="eastAsia"/>
          <w:sz w:val="24"/>
          <w:szCs w:val="24"/>
        </w:rPr>
        <w:t>佛山市新闻传媒中心颁发</w:t>
      </w:r>
      <w:r w:rsidR="00C86554">
        <w:rPr>
          <w:rFonts w:ascii="微软雅黑" w:eastAsia="微软雅黑" w:hAnsi="微软雅黑" w:hint="eastAsia"/>
          <w:sz w:val="24"/>
          <w:szCs w:val="24"/>
        </w:rPr>
        <w:t>的</w:t>
      </w:r>
      <w:r w:rsidRPr="00C86554">
        <w:rPr>
          <w:rFonts w:ascii="微软雅黑" w:eastAsia="微软雅黑" w:hAnsi="微软雅黑" w:hint="eastAsia"/>
          <w:sz w:val="24"/>
          <w:szCs w:val="24"/>
        </w:rPr>
        <w:t>“2024年度佛山最具口碑银行”奖项</w:t>
      </w:r>
      <w:r w:rsidR="00C86554">
        <w:rPr>
          <w:rFonts w:ascii="微软雅黑" w:eastAsia="微软雅黑" w:hAnsi="微软雅黑" w:hint="eastAsia"/>
          <w:sz w:val="24"/>
          <w:szCs w:val="24"/>
        </w:rPr>
        <w:t>。</w:t>
      </w:r>
    </w:p>
    <w:sectPr w:rsidR="008A0C8F" w:rsidRPr="00C8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C7" w:rsidRDefault="003A6EC7" w:rsidP="00E25D04">
      <w:r>
        <w:separator/>
      </w:r>
    </w:p>
  </w:endnote>
  <w:endnote w:type="continuationSeparator" w:id="0">
    <w:p w:rsidR="003A6EC7" w:rsidRDefault="003A6EC7" w:rsidP="00E2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C7" w:rsidRDefault="003A6EC7" w:rsidP="00E25D04">
      <w:r>
        <w:separator/>
      </w:r>
    </w:p>
  </w:footnote>
  <w:footnote w:type="continuationSeparator" w:id="0">
    <w:p w:rsidR="003A6EC7" w:rsidRDefault="003A6EC7" w:rsidP="00E25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37"/>
    <w:rsid w:val="0001752F"/>
    <w:rsid w:val="000626F0"/>
    <w:rsid w:val="000D7068"/>
    <w:rsid w:val="00112680"/>
    <w:rsid w:val="0014087A"/>
    <w:rsid w:val="001520B3"/>
    <w:rsid w:val="00197CF1"/>
    <w:rsid w:val="00255889"/>
    <w:rsid w:val="002B04F0"/>
    <w:rsid w:val="002B5BF1"/>
    <w:rsid w:val="002C4ED1"/>
    <w:rsid w:val="00381BDC"/>
    <w:rsid w:val="00381E64"/>
    <w:rsid w:val="003824F4"/>
    <w:rsid w:val="0038794D"/>
    <w:rsid w:val="003A6EC7"/>
    <w:rsid w:val="004179C7"/>
    <w:rsid w:val="00421229"/>
    <w:rsid w:val="00512FC7"/>
    <w:rsid w:val="005D34E9"/>
    <w:rsid w:val="005D66FA"/>
    <w:rsid w:val="00653AF1"/>
    <w:rsid w:val="006A3A29"/>
    <w:rsid w:val="006F3A57"/>
    <w:rsid w:val="00857C1B"/>
    <w:rsid w:val="00863858"/>
    <w:rsid w:val="00865A27"/>
    <w:rsid w:val="008724BA"/>
    <w:rsid w:val="008A0C8F"/>
    <w:rsid w:val="008B2206"/>
    <w:rsid w:val="008B3CE6"/>
    <w:rsid w:val="008D7145"/>
    <w:rsid w:val="008F165A"/>
    <w:rsid w:val="00A50E6B"/>
    <w:rsid w:val="00B410BA"/>
    <w:rsid w:val="00B61C98"/>
    <w:rsid w:val="00BD7CCB"/>
    <w:rsid w:val="00C00E59"/>
    <w:rsid w:val="00C822F9"/>
    <w:rsid w:val="00C86554"/>
    <w:rsid w:val="00CD3F42"/>
    <w:rsid w:val="00D25587"/>
    <w:rsid w:val="00D2690C"/>
    <w:rsid w:val="00DA036F"/>
    <w:rsid w:val="00DB1116"/>
    <w:rsid w:val="00DF0126"/>
    <w:rsid w:val="00E22884"/>
    <w:rsid w:val="00E25D04"/>
    <w:rsid w:val="00EB6668"/>
    <w:rsid w:val="00ED2537"/>
    <w:rsid w:val="00F269DE"/>
    <w:rsid w:val="00F437EA"/>
    <w:rsid w:val="00FB5E11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D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D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D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177</Words>
  <Characters>1012</Characters>
  <Application>Microsoft Office Word</Application>
  <DocSecurity>0</DocSecurity>
  <Lines>8</Lines>
  <Paragraphs>2</Paragraphs>
  <ScaleCrop>false</ScaleCrop>
  <Company>Sky123.Org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2025-02-19T00:49:00Z</dcterms:created>
  <dcterms:modified xsi:type="dcterms:W3CDTF">2025-02-19T01:32:00Z</dcterms:modified>
</cp:coreProperties>
</file>