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授权委托书</w:t>
      </w:r>
    </w:p>
    <w:p>
      <w:pPr>
        <w:spacing w:before="312" w:beforeLines="100" w:after="100" w:afterAutospacing="1"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本人（本公司）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作为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佛山农村商业银行股份有限公司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股东，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兹委托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先生/女士代表本人（本公司）出席佛山农村商业银行股份有限公司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年度股东大会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并代为行使表决权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委托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期限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自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委托人签名或盖章之日起至佛山农村商业银行股份有限公司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年度股东大会及其续会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结束止。</w:t>
      </w:r>
    </w:p>
    <w:tbl>
      <w:tblPr>
        <w:tblStyle w:val="6"/>
        <w:tblW w:w="8931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18"/>
        <w:gridCol w:w="2323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委托人姓名/名称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委托人持股数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委托人证件号码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代理人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代理人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52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本人（本公司）对本次股东大会议程审议事项的表决意见如下：</w:t>
      </w:r>
    </w:p>
    <w:tbl>
      <w:tblPr>
        <w:tblStyle w:val="6"/>
        <w:tblW w:w="8931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095"/>
        <w:gridCol w:w="709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60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议案名称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表决意见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0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赞成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反对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关于2023年度董事会工作报告的议案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关于2023年度监事会工作报告的议案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关于2023年度财务决算及2024年度财务预算的议案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关于2023年度利润分配方案的议案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关于聘请2024年财务审计、关联交易审计和内部控制审核服务中介机构的议案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关于2023年年度报告的议案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关于佛山金控集团2024-2025年度授信类关联交易额度的议案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关于新明珠集团2024-2025年度授信类关联交易额度的议案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6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议案名称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表决意见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赞成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反对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关于禅城城建集团2024-2025年度授信类关联交易额度的议案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关于高明建投集团2024-2025年度授信类关联交易额度的议案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关于三水金叶集团2024-2025年度授信类关联交易额度的议案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关于泰裕达集团2024-2025年度授信类关联交易额度的议案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关于东建集团2024-2025年度授信类关联交易额度的议案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关于修订《佛山农村商业银行股份有限公司董事会议事规则》的议案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关于修订《佛山农村商业银行股份有限公司董事选举办法》的议案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关于修订《佛山农村商业银行股份有限公司监事及监事会主席选举办法》的议案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关于修订《佛山农村商业银行股份有限公司监事会议事规则》的议案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关于修订《佛山农村商业银行股份有限公司监事会工作管理办法》的议案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关于修订《佛山农村商业银行股份有限公司董事薪酬管理办法》的议案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关于修订《佛山农村商业银行股份有限公司监事薪酬管理办法》的议案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spacing w:before="312" w:beforeLines="100"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请在对应“表决意见”栏打“√”作出指示，一个议案同时作出多个表决意见的，视为无效表决。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委托人不作出指示，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代理人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可以按自己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意思表决。</w:t>
      </w:r>
    </w:p>
    <w:p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0"/>
        </w:rPr>
      </w:pPr>
    </w:p>
    <w:p>
      <w:pPr>
        <w:wordWrap w:val="0"/>
        <w:spacing w:before="468" w:beforeLines="150" w:line="52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委托人签名：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</w:t>
      </w:r>
    </w:p>
    <w:p>
      <w:pPr>
        <w:spacing w:line="52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32"/>
        </w:rPr>
        <w:t>（自然人股东签名，法人股东法定代表人签名并加盖公章）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spacing w:before="156" w:beforeLines="50" w:after="156" w:afterLines="50" w:line="4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spacing w:before="156" w:beforeLines="50" w:after="156" w:afterLines="50" w:line="460" w:lineRule="exact"/>
        <w:ind w:firstLine="5760" w:firstLineChars="18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BE"/>
    <w:rsid w:val="00004C4F"/>
    <w:rsid w:val="00005ACB"/>
    <w:rsid w:val="000464EE"/>
    <w:rsid w:val="00047B96"/>
    <w:rsid w:val="00052BBF"/>
    <w:rsid w:val="00076C9A"/>
    <w:rsid w:val="0008411A"/>
    <w:rsid w:val="000C02B5"/>
    <w:rsid w:val="000D70E4"/>
    <w:rsid w:val="000E039D"/>
    <w:rsid w:val="000E668F"/>
    <w:rsid w:val="000E7F2D"/>
    <w:rsid w:val="000F4F0F"/>
    <w:rsid w:val="000F61E0"/>
    <w:rsid w:val="001014CB"/>
    <w:rsid w:val="0011281B"/>
    <w:rsid w:val="00112F40"/>
    <w:rsid w:val="001369D4"/>
    <w:rsid w:val="001408FD"/>
    <w:rsid w:val="0014735A"/>
    <w:rsid w:val="0015355F"/>
    <w:rsid w:val="00157593"/>
    <w:rsid w:val="00166F22"/>
    <w:rsid w:val="00176D13"/>
    <w:rsid w:val="0018000B"/>
    <w:rsid w:val="00183D27"/>
    <w:rsid w:val="00185421"/>
    <w:rsid w:val="001946A0"/>
    <w:rsid w:val="001C1288"/>
    <w:rsid w:val="001C4083"/>
    <w:rsid w:val="001D4C6E"/>
    <w:rsid w:val="002078F1"/>
    <w:rsid w:val="00226D6B"/>
    <w:rsid w:val="00243DBE"/>
    <w:rsid w:val="00246C48"/>
    <w:rsid w:val="002561C3"/>
    <w:rsid w:val="00272347"/>
    <w:rsid w:val="002906F5"/>
    <w:rsid w:val="00294F68"/>
    <w:rsid w:val="002B5FAE"/>
    <w:rsid w:val="002C0C80"/>
    <w:rsid w:val="002D661E"/>
    <w:rsid w:val="002E0A5B"/>
    <w:rsid w:val="002F203D"/>
    <w:rsid w:val="002F4478"/>
    <w:rsid w:val="002F5DDA"/>
    <w:rsid w:val="00317525"/>
    <w:rsid w:val="003263A9"/>
    <w:rsid w:val="00326725"/>
    <w:rsid w:val="00337966"/>
    <w:rsid w:val="003635D6"/>
    <w:rsid w:val="00364C1D"/>
    <w:rsid w:val="003827E1"/>
    <w:rsid w:val="00387E65"/>
    <w:rsid w:val="003A3B04"/>
    <w:rsid w:val="003B78D6"/>
    <w:rsid w:val="003D6CA2"/>
    <w:rsid w:val="003D7D92"/>
    <w:rsid w:val="003F2C35"/>
    <w:rsid w:val="004139EF"/>
    <w:rsid w:val="00415047"/>
    <w:rsid w:val="00424755"/>
    <w:rsid w:val="004323DE"/>
    <w:rsid w:val="004422F5"/>
    <w:rsid w:val="00446DA6"/>
    <w:rsid w:val="0044757F"/>
    <w:rsid w:val="00461A7A"/>
    <w:rsid w:val="00463236"/>
    <w:rsid w:val="00465A2C"/>
    <w:rsid w:val="004749B5"/>
    <w:rsid w:val="00490690"/>
    <w:rsid w:val="004A410D"/>
    <w:rsid w:val="004A606C"/>
    <w:rsid w:val="004B522E"/>
    <w:rsid w:val="004C02EA"/>
    <w:rsid w:val="004C4783"/>
    <w:rsid w:val="004E0B0C"/>
    <w:rsid w:val="004E5623"/>
    <w:rsid w:val="004E746D"/>
    <w:rsid w:val="00503C0B"/>
    <w:rsid w:val="00523E1A"/>
    <w:rsid w:val="00526E37"/>
    <w:rsid w:val="00527B2D"/>
    <w:rsid w:val="00536579"/>
    <w:rsid w:val="00553733"/>
    <w:rsid w:val="00566AA1"/>
    <w:rsid w:val="00571826"/>
    <w:rsid w:val="0058223C"/>
    <w:rsid w:val="005842BD"/>
    <w:rsid w:val="0058639B"/>
    <w:rsid w:val="00596B4A"/>
    <w:rsid w:val="005A4F5B"/>
    <w:rsid w:val="005C49B6"/>
    <w:rsid w:val="005F401C"/>
    <w:rsid w:val="0060511F"/>
    <w:rsid w:val="006071F5"/>
    <w:rsid w:val="006165F5"/>
    <w:rsid w:val="00632E9F"/>
    <w:rsid w:val="00647671"/>
    <w:rsid w:val="00647DAE"/>
    <w:rsid w:val="00650BAE"/>
    <w:rsid w:val="00652964"/>
    <w:rsid w:val="006635EC"/>
    <w:rsid w:val="00663D85"/>
    <w:rsid w:val="00665E4C"/>
    <w:rsid w:val="0066787E"/>
    <w:rsid w:val="00677706"/>
    <w:rsid w:val="0069293D"/>
    <w:rsid w:val="006A060F"/>
    <w:rsid w:val="006A1773"/>
    <w:rsid w:val="006B06DD"/>
    <w:rsid w:val="006C15F1"/>
    <w:rsid w:val="006C3B7A"/>
    <w:rsid w:val="006E3AB7"/>
    <w:rsid w:val="006E70F0"/>
    <w:rsid w:val="006F28EB"/>
    <w:rsid w:val="006F337B"/>
    <w:rsid w:val="006F38FC"/>
    <w:rsid w:val="006F4BA1"/>
    <w:rsid w:val="006F4C67"/>
    <w:rsid w:val="006F73F1"/>
    <w:rsid w:val="00712605"/>
    <w:rsid w:val="00714490"/>
    <w:rsid w:val="007240E8"/>
    <w:rsid w:val="007354A1"/>
    <w:rsid w:val="00744D48"/>
    <w:rsid w:val="007753EC"/>
    <w:rsid w:val="007B74E0"/>
    <w:rsid w:val="007E2A76"/>
    <w:rsid w:val="007E2FA2"/>
    <w:rsid w:val="007E577A"/>
    <w:rsid w:val="008021BE"/>
    <w:rsid w:val="0081067D"/>
    <w:rsid w:val="008146BE"/>
    <w:rsid w:val="0083271F"/>
    <w:rsid w:val="0083636A"/>
    <w:rsid w:val="008433AE"/>
    <w:rsid w:val="008519FB"/>
    <w:rsid w:val="00856573"/>
    <w:rsid w:val="008568A8"/>
    <w:rsid w:val="00856DBC"/>
    <w:rsid w:val="00857783"/>
    <w:rsid w:val="0088429D"/>
    <w:rsid w:val="008964FC"/>
    <w:rsid w:val="00897A7D"/>
    <w:rsid w:val="008A41FD"/>
    <w:rsid w:val="008B3148"/>
    <w:rsid w:val="008C2241"/>
    <w:rsid w:val="008C3D39"/>
    <w:rsid w:val="008E2C7E"/>
    <w:rsid w:val="008F02E2"/>
    <w:rsid w:val="008F50FB"/>
    <w:rsid w:val="00900D89"/>
    <w:rsid w:val="0091019A"/>
    <w:rsid w:val="009132C6"/>
    <w:rsid w:val="00916459"/>
    <w:rsid w:val="00927F1B"/>
    <w:rsid w:val="00935441"/>
    <w:rsid w:val="00935CB4"/>
    <w:rsid w:val="00942203"/>
    <w:rsid w:val="009434D8"/>
    <w:rsid w:val="00944B32"/>
    <w:rsid w:val="00955F35"/>
    <w:rsid w:val="009647D9"/>
    <w:rsid w:val="00987496"/>
    <w:rsid w:val="00993833"/>
    <w:rsid w:val="00994735"/>
    <w:rsid w:val="00995706"/>
    <w:rsid w:val="009962EF"/>
    <w:rsid w:val="00997FDF"/>
    <w:rsid w:val="009A197B"/>
    <w:rsid w:val="009B0919"/>
    <w:rsid w:val="009C7775"/>
    <w:rsid w:val="009D4014"/>
    <w:rsid w:val="009D6C45"/>
    <w:rsid w:val="009E5A0E"/>
    <w:rsid w:val="009E7DCA"/>
    <w:rsid w:val="009F6023"/>
    <w:rsid w:val="00A017D3"/>
    <w:rsid w:val="00A04003"/>
    <w:rsid w:val="00A0706D"/>
    <w:rsid w:val="00A10564"/>
    <w:rsid w:val="00A32047"/>
    <w:rsid w:val="00A52584"/>
    <w:rsid w:val="00A75337"/>
    <w:rsid w:val="00A82D3F"/>
    <w:rsid w:val="00A83248"/>
    <w:rsid w:val="00A85199"/>
    <w:rsid w:val="00A86360"/>
    <w:rsid w:val="00AA5060"/>
    <w:rsid w:val="00AA7658"/>
    <w:rsid w:val="00AB08D8"/>
    <w:rsid w:val="00AB76B3"/>
    <w:rsid w:val="00AE2631"/>
    <w:rsid w:val="00AF21EE"/>
    <w:rsid w:val="00AF5458"/>
    <w:rsid w:val="00B14242"/>
    <w:rsid w:val="00B15FD0"/>
    <w:rsid w:val="00B245DC"/>
    <w:rsid w:val="00B3137A"/>
    <w:rsid w:val="00B67047"/>
    <w:rsid w:val="00B764A3"/>
    <w:rsid w:val="00BA1085"/>
    <w:rsid w:val="00BB1DB0"/>
    <w:rsid w:val="00BB6C12"/>
    <w:rsid w:val="00BC3F06"/>
    <w:rsid w:val="00BD31CB"/>
    <w:rsid w:val="00BD3287"/>
    <w:rsid w:val="00BE3768"/>
    <w:rsid w:val="00BE7D2C"/>
    <w:rsid w:val="00C25AD9"/>
    <w:rsid w:val="00C25CB8"/>
    <w:rsid w:val="00C332D2"/>
    <w:rsid w:val="00C50184"/>
    <w:rsid w:val="00C56FBD"/>
    <w:rsid w:val="00C60858"/>
    <w:rsid w:val="00C615C5"/>
    <w:rsid w:val="00C63297"/>
    <w:rsid w:val="00C66622"/>
    <w:rsid w:val="00C669C6"/>
    <w:rsid w:val="00C77B7E"/>
    <w:rsid w:val="00C915A9"/>
    <w:rsid w:val="00CB74A1"/>
    <w:rsid w:val="00CC76AA"/>
    <w:rsid w:val="00CD0BFE"/>
    <w:rsid w:val="00CD3B30"/>
    <w:rsid w:val="00CE5518"/>
    <w:rsid w:val="00D127C1"/>
    <w:rsid w:val="00D1578C"/>
    <w:rsid w:val="00D41218"/>
    <w:rsid w:val="00D50690"/>
    <w:rsid w:val="00D553B3"/>
    <w:rsid w:val="00D60292"/>
    <w:rsid w:val="00D61E04"/>
    <w:rsid w:val="00D70F10"/>
    <w:rsid w:val="00D85A19"/>
    <w:rsid w:val="00D9352D"/>
    <w:rsid w:val="00DA5E35"/>
    <w:rsid w:val="00DB14EC"/>
    <w:rsid w:val="00DC0DBC"/>
    <w:rsid w:val="00DC0F35"/>
    <w:rsid w:val="00DC3887"/>
    <w:rsid w:val="00E01B27"/>
    <w:rsid w:val="00E03ABF"/>
    <w:rsid w:val="00E13B1C"/>
    <w:rsid w:val="00E16441"/>
    <w:rsid w:val="00E52FFC"/>
    <w:rsid w:val="00EA03DC"/>
    <w:rsid w:val="00EA0853"/>
    <w:rsid w:val="00EA1471"/>
    <w:rsid w:val="00EB28AE"/>
    <w:rsid w:val="00EB4931"/>
    <w:rsid w:val="00EB617E"/>
    <w:rsid w:val="00EC3B2D"/>
    <w:rsid w:val="00EC4465"/>
    <w:rsid w:val="00EC5239"/>
    <w:rsid w:val="00EE329D"/>
    <w:rsid w:val="00EE4F0F"/>
    <w:rsid w:val="00EF0102"/>
    <w:rsid w:val="00EF12E3"/>
    <w:rsid w:val="00EF73ED"/>
    <w:rsid w:val="00F1373D"/>
    <w:rsid w:val="00F13FDE"/>
    <w:rsid w:val="00F2610E"/>
    <w:rsid w:val="00F33843"/>
    <w:rsid w:val="00F45A1C"/>
    <w:rsid w:val="00F66F9A"/>
    <w:rsid w:val="00F729E2"/>
    <w:rsid w:val="00F83384"/>
    <w:rsid w:val="00FA2BB6"/>
    <w:rsid w:val="00FB2F8F"/>
    <w:rsid w:val="00FB3A63"/>
    <w:rsid w:val="00FC20E8"/>
    <w:rsid w:val="056F6A15"/>
    <w:rsid w:val="069733FE"/>
    <w:rsid w:val="083762C4"/>
    <w:rsid w:val="1134075B"/>
    <w:rsid w:val="12BB60B1"/>
    <w:rsid w:val="130C36DE"/>
    <w:rsid w:val="19056CB1"/>
    <w:rsid w:val="1DF27256"/>
    <w:rsid w:val="21DE19C4"/>
    <w:rsid w:val="32B04BD0"/>
    <w:rsid w:val="348511CE"/>
    <w:rsid w:val="37835A8C"/>
    <w:rsid w:val="37B83601"/>
    <w:rsid w:val="3A00217B"/>
    <w:rsid w:val="3A3A7FEA"/>
    <w:rsid w:val="40E65051"/>
    <w:rsid w:val="42017540"/>
    <w:rsid w:val="4BD25AC4"/>
    <w:rsid w:val="54D476BB"/>
    <w:rsid w:val="59D93B67"/>
    <w:rsid w:val="641C7948"/>
    <w:rsid w:val="64713CCF"/>
    <w:rsid w:val="74AA3DB5"/>
    <w:rsid w:val="759574A0"/>
    <w:rsid w:val="7AAE12EF"/>
    <w:rsid w:val="7B94168D"/>
    <w:rsid w:val="7C8A0D37"/>
    <w:rsid w:val="7E5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6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link w:val="2"/>
    <w:qFormat/>
    <w:uiPriority w:val="0"/>
    <w:rPr>
      <w:kern w:val="16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16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16"/>
      <w:sz w:val="18"/>
      <w:szCs w:val="18"/>
    </w:rPr>
  </w:style>
  <w:style w:type="paragraph" w:customStyle="1" w:styleId="11">
    <w:name w:val="Char Char Char Char Char Char Char Char Char Char Char Char Char Char Char Char Char Char Char"/>
    <w:basedOn w:val="1"/>
    <w:qFormat/>
    <w:uiPriority w:val="0"/>
    <w:pPr>
      <w:tabs>
        <w:tab w:val="left" w:pos="360"/>
      </w:tabs>
      <w:spacing w:afterLines="50"/>
      <w:ind w:firstLine="200" w:firstLineChars="200"/>
    </w:pPr>
    <w:rPr>
      <w:rFonts w:eastAsia="仿宋_GB2312"/>
      <w:bCs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BC3F8-AD29-40BA-871A-68F19C50A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2020-04-06T07:45:00Z</dcterms:created>
  <dc:creator>KWXCM</dc:creator>
  <cp:lastModifiedBy>黎建东</cp:lastModifiedBy>
  <cp:lastPrinted>2023-03-31T00:32:00Z</cp:lastPrinted>
  <dcterms:modified xsi:type="dcterms:W3CDTF">2024-03-08T01:04:56Z</dcterms:modified>
  <dc:title>授权委托书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